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68D" w:rsidRDefault="00904B91" w:rsidP="00732F73">
      <w:pPr>
        <w:tabs>
          <w:tab w:val="left" w:pos="1134"/>
          <w:tab w:val="right" w:pos="7513"/>
        </w:tabs>
        <w:jc w:val="center"/>
        <w:rPr>
          <w:b/>
          <w:sz w:val="28"/>
          <w:szCs w:val="28"/>
        </w:rPr>
      </w:pPr>
      <w:r w:rsidRPr="00732F73">
        <w:rPr>
          <w:b/>
          <w:sz w:val="28"/>
          <w:szCs w:val="28"/>
        </w:rPr>
        <w:t xml:space="preserve">OBRAZLOŽENJE  IZVRŠENJA FINANCIJSKOG PLANA </w:t>
      </w:r>
    </w:p>
    <w:p w:rsidR="00904B91" w:rsidRDefault="00904B91" w:rsidP="0074268D">
      <w:pPr>
        <w:tabs>
          <w:tab w:val="left" w:pos="1134"/>
          <w:tab w:val="right" w:pos="7513"/>
        </w:tabs>
        <w:jc w:val="center"/>
        <w:rPr>
          <w:b/>
          <w:sz w:val="28"/>
          <w:szCs w:val="28"/>
        </w:rPr>
      </w:pPr>
      <w:r w:rsidRPr="00732F73">
        <w:rPr>
          <w:b/>
          <w:sz w:val="28"/>
          <w:szCs w:val="28"/>
        </w:rPr>
        <w:t xml:space="preserve">HRVATSKIH VODA ZA </w:t>
      </w:r>
      <w:r w:rsidR="000A74EC" w:rsidRPr="00732F73">
        <w:rPr>
          <w:b/>
          <w:sz w:val="28"/>
          <w:szCs w:val="28"/>
        </w:rPr>
        <w:t>2019. GODIN</w:t>
      </w:r>
      <w:r w:rsidR="00227699" w:rsidRPr="00732F73">
        <w:rPr>
          <w:b/>
          <w:sz w:val="28"/>
          <w:szCs w:val="28"/>
        </w:rPr>
        <w:t>U</w:t>
      </w:r>
    </w:p>
    <w:p w:rsidR="005F3F48" w:rsidRPr="00732F73" w:rsidRDefault="005F3F48" w:rsidP="00732F73">
      <w:pPr>
        <w:jc w:val="both"/>
      </w:pPr>
    </w:p>
    <w:p w:rsidR="00FD311A" w:rsidRPr="00732F73" w:rsidRDefault="00FD311A" w:rsidP="00732F73">
      <w:pPr>
        <w:jc w:val="both"/>
      </w:pPr>
    </w:p>
    <w:p w:rsidR="00FD311A" w:rsidRPr="0074268D" w:rsidRDefault="00700385" w:rsidP="0074268D">
      <w:pPr>
        <w:pStyle w:val="Odlomakpopisa"/>
        <w:numPr>
          <w:ilvl w:val="0"/>
          <w:numId w:val="9"/>
        </w:numPr>
        <w:jc w:val="both"/>
        <w:rPr>
          <w:b/>
          <w:bCs/>
        </w:rPr>
      </w:pPr>
      <w:r w:rsidRPr="0074268D">
        <w:rPr>
          <w:b/>
          <w:bCs/>
        </w:rPr>
        <w:t>RAČUN PRIHODA I RASHODA</w:t>
      </w:r>
    </w:p>
    <w:p w:rsidR="0074268D" w:rsidRPr="0074268D" w:rsidRDefault="0074268D" w:rsidP="0074268D">
      <w:pPr>
        <w:jc w:val="both"/>
        <w:rPr>
          <w:b/>
          <w:bCs/>
        </w:rPr>
      </w:pPr>
    </w:p>
    <w:p w:rsidR="005F3F48" w:rsidRPr="00732F73" w:rsidRDefault="00E30CE2" w:rsidP="00732F73">
      <w:pPr>
        <w:jc w:val="both"/>
        <w:rPr>
          <w:lang w:eastAsia="en-US"/>
        </w:rPr>
      </w:pPr>
      <w:r w:rsidRPr="00732F73">
        <w:rPr>
          <w:lang w:eastAsia="en-US"/>
        </w:rPr>
        <w:t xml:space="preserve">U </w:t>
      </w:r>
      <w:r w:rsidR="00A30CC8" w:rsidRPr="00732F73">
        <w:rPr>
          <w:lang w:eastAsia="en-US"/>
        </w:rPr>
        <w:t>2019. godin</w:t>
      </w:r>
      <w:r w:rsidR="00227699" w:rsidRPr="00732F73">
        <w:rPr>
          <w:lang w:eastAsia="en-US"/>
        </w:rPr>
        <w:t>i</w:t>
      </w:r>
      <w:r w:rsidRPr="00732F73">
        <w:rPr>
          <w:lang w:eastAsia="en-US"/>
        </w:rPr>
        <w:t xml:space="preserve"> ukupni</w:t>
      </w:r>
      <w:r w:rsidR="005F3F48" w:rsidRPr="00732F73">
        <w:rPr>
          <w:lang w:eastAsia="en-US"/>
        </w:rPr>
        <w:t xml:space="preserve"> pri</w:t>
      </w:r>
      <w:r w:rsidR="009153A2" w:rsidRPr="00732F73">
        <w:rPr>
          <w:lang w:eastAsia="en-US"/>
        </w:rPr>
        <w:t>hodi</w:t>
      </w:r>
      <w:r w:rsidRPr="00732F73">
        <w:rPr>
          <w:lang w:eastAsia="en-US"/>
        </w:rPr>
        <w:t xml:space="preserve"> su</w:t>
      </w:r>
      <w:r w:rsidR="009153A2" w:rsidRPr="00732F73">
        <w:rPr>
          <w:lang w:eastAsia="en-US"/>
        </w:rPr>
        <w:t xml:space="preserve"> ostvareni u iznosu o</w:t>
      </w:r>
      <w:r w:rsidR="000575BD" w:rsidRPr="00732F73">
        <w:rPr>
          <w:lang w:eastAsia="en-US"/>
        </w:rPr>
        <w:t xml:space="preserve">d </w:t>
      </w:r>
      <w:r w:rsidR="00227699" w:rsidRPr="00732F73">
        <w:rPr>
          <w:lang w:eastAsia="en-US"/>
        </w:rPr>
        <w:t>3</w:t>
      </w:r>
      <w:r w:rsidR="00A30CC8" w:rsidRPr="00732F73">
        <w:rPr>
          <w:lang w:eastAsia="en-US"/>
        </w:rPr>
        <w:t>.</w:t>
      </w:r>
      <w:r w:rsidR="00227699" w:rsidRPr="00732F73">
        <w:rPr>
          <w:lang w:eastAsia="en-US"/>
        </w:rPr>
        <w:t>007</w:t>
      </w:r>
      <w:r w:rsidR="00A30CC8" w:rsidRPr="00732F73">
        <w:rPr>
          <w:lang w:eastAsia="en-US"/>
        </w:rPr>
        <w:t>.</w:t>
      </w:r>
      <w:r w:rsidR="00227699" w:rsidRPr="00732F73">
        <w:rPr>
          <w:lang w:eastAsia="en-US"/>
        </w:rPr>
        <w:t>505</w:t>
      </w:r>
      <w:r w:rsidR="00A30CC8" w:rsidRPr="00732F73">
        <w:rPr>
          <w:lang w:eastAsia="en-US"/>
        </w:rPr>
        <w:t>.</w:t>
      </w:r>
      <w:r w:rsidR="00227699" w:rsidRPr="00732F73">
        <w:rPr>
          <w:lang w:eastAsia="en-US"/>
        </w:rPr>
        <w:t>728</w:t>
      </w:r>
      <w:r w:rsidR="000575BD" w:rsidRPr="00732F73">
        <w:rPr>
          <w:lang w:eastAsia="en-US"/>
        </w:rPr>
        <w:t xml:space="preserve"> kn</w:t>
      </w:r>
      <w:r w:rsidR="00EC16ED" w:rsidRPr="00732F73">
        <w:rPr>
          <w:lang w:eastAsia="en-US"/>
        </w:rPr>
        <w:t>, 11% više u odnosu na isto razdoblje prošle godine,</w:t>
      </w:r>
      <w:r w:rsidR="000575BD" w:rsidRPr="00732F73">
        <w:rPr>
          <w:lang w:eastAsia="en-US"/>
        </w:rPr>
        <w:t xml:space="preserve"> sa inde</w:t>
      </w:r>
      <w:r w:rsidR="00DB25BF" w:rsidRPr="00732F73">
        <w:rPr>
          <w:lang w:eastAsia="en-US"/>
        </w:rPr>
        <w:t>ks</w:t>
      </w:r>
      <w:r w:rsidR="000575BD" w:rsidRPr="00732F73">
        <w:rPr>
          <w:lang w:eastAsia="en-US"/>
        </w:rPr>
        <w:t xml:space="preserve">om </w:t>
      </w:r>
      <w:r w:rsidR="00227699" w:rsidRPr="00732F73">
        <w:rPr>
          <w:lang w:eastAsia="en-US"/>
        </w:rPr>
        <w:t>99</w:t>
      </w:r>
      <w:r w:rsidR="00CA76AD" w:rsidRPr="00732F73">
        <w:rPr>
          <w:lang w:eastAsia="en-US"/>
        </w:rPr>
        <w:t xml:space="preserve"> </w:t>
      </w:r>
      <w:r w:rsidR="00A4354F" w:rsidRPr="00732F73">
        <w:rPr>
          <w:lang w:eastAsia="en-US"/>
        </w:rPr>
        <w:t>u odnosu na plan</w:t>
      </w:r>
      <w:r w:rsidR="001311F5" w:rsidRPr="00732F73">
        <w:rPr>
          <w:lang w:eastAsia="en-US"/>
        </w:rPr>
        <w:t>irano</w:t>
      </w:r>
      <w:r w:rsidR="00A4354F" w:rsidRPr="00732F73">
        <w:rPr>
          <w:lang w:eastAsia="en-US"/>
        </w:rPr>
        <w:t xml:space="preserve">. </w:t>
      </w:r>
      <w:r w:rsidR="001E1E3A" w:rsidRPr="00732F73">
        <w:rPr>
          <w:lang w:eastAsia="en-US"/>
        </w:rPr>
        <w:t>Ukupni rashodi</w:t>
      </w:r>
      <w:r w:rsidR="005F3F48" w:rsidRPr="00732F73">
        <w:rPr>
          <w:lang w:eastAsia="en-US"/>
        </w:rPr>
        <w:t xml:space="preserve"> </w:t>
      </w:r>
      <w:r w:rsidR="009153A2" w:rsidRPr="00732F73">
        <w:rPr>
          <w:lang w:eastAsia="en-US"/>
        </w:rPr>
        <w:t xml:space="preserve">su realizirani u visini od </w:t>
      </w:r>
      <w:r w:rsidR="00227699" w:rsidRPr="00732F73">
        <w:rPr>
          <w:lang w:eastAsia="en-US"/>
        </w:rPr>
        <w:t>2.733</w:t>
      </w:r>
      <w:r w:rsidR="00A30CC8" w:rsidRPr="00732F73">
        <w:rPr>
          <w:lang w:eastAsia="en-US"/>
        </w:rPr>
        <w:t>.</w:t>
      </w:r>
      <w:r w:rsidR="00227699" w:rsidRPr="00732F73">
        <w:rPr>
          <w:lang w:eastAsia="en-US"/>
        </w:rPr>
        <w:t>679</w:t>
      </w:r>
      <w:r w:rsidR="00A30CC8" w:rsidRPr="00732F73">
        <w:rPr>
          <w:lang w:eastAsia="en-US"/>
        </w:rPr>
        <w:t>.</w:t>
      </w:r>
      <w:r w:rsidR="00227699" w:rsidRPr="00732F73">
        <w:rPr>
          <w:lang w:eastAsia="en-US"/>
        </w:rPr>
        <w:t>606</w:t>
      </w:r>
      <w:r w:rsidRPr="00732F73">
        <w:rPr>
          <w:lang w:eastAsia="en-US"/>
        </w:rPr>
        <w:t xml:space="preserve"> </w:t>
      </w:r>
      <w:r w:rsidR="005F3F48" w:rsidRPr="00732F73">
        <w:rPr>
          <w:lang w:eastAsia="en-US"/>
        </w:rPr>
        <w:t>kn</w:t>
      </w:r>
      <w:r w:rsidR="00A30CC8" w:rsidRPr="00732F73">
        <w:rPr>
          <w:lang w:eastAsia="en-US"/>
        </w:rPr>
        <w:t xml:space="preserve">, </w:t>
      </w:r>
      <w:r w:rsidR="00227699" w:rsidRPr="00732F73">
        <w:rPr>
          <w:lang w:eastAsia="en-US"/>
        </w:rPr>
        <w:t>1</w:t>
      </w:r>
      <w:r w:rsidR="00A30CC8" w:rsidRPr="00732F73">
        <w:rPr>
          <w:lang w:eastAsia="en-US"/>
        </w:rPr>
        <w:t xml:space="preserve">6% više u odnosu na isto razdoblje prošle godine, a u odnosu na plan indeksom od </w:t>
      </w:r>
      <w:r w:rsidR="00227699" w:rsidRPr="00732F73">
        <w:rPr>
          <w:lang w:eastAsia="en-US"/>
        </w:rPr>
        <w:t>99</w:t>
      </w:r>
      <w:r w:rsidR="005F3F48" w:rsidRPr="00732F73">
        <w:rPr>
          <w:lang w:eastAsia="en-US"/>
        </w:rPr>
        <w:t xml:space="preserve">. </w:t>
      </w:r>
    </w:p>
    <w:p w:rsidR="000C7CBC" w:rsidRPr="00732F73" w:rsidRDefault="000C7CBC" w:rsidP="00732F73">
      <w:pPr>
        <w:jc w:val="both"/>
        <w:rPr>
          <w:lang w:eastAsia="en-US"/>
        </w:rPr>
      </w:pPr>
    </w:p>
    <w:p w:rsidR="005F3F48" w:rsidRPr="00732F73" w:rsidRDefault="005F3F48" w:rsidP="00732F73">
      <w:pPr>
        <w:jc w:val="both"/>
        <w:rPr>
          <w:lang w:eastAsia="en-US"/>
        </w:rPr>
      </w:pPr>
      <w:r w:rsidRPr="00732F73">
        <w:rPr>
          <w:lang w:eastAsia="en-US"/>
        </w:rPr>
        <w:t>U strukturi ostvarenih pr</w:t>
      </w:r>
      <w:r w:rsidR="009153A2" w:rsidRPr="00732F73">
        <w:rPr>
          <w:lang w:eastAsia="en-US"/>
        </w:rPr>
        <w:t xml:space="preserve">ihoda izvorna sredstva čine </w:t>
      </w:r>
      <w:r w:rsidR="00A80774" w:rsidRPr="00732F73">
        <w:rPr>
          <w:lang w:eastAsia="en-US"/>
        </w:rPr>
        <w:t>71</w:t>
      </w:r>
      <w:r w:rsidRPr="00732F73">
        <w:rPr>
          <w:lang w:eastAsia="en-US"/>
        </w:rPr>
        <w:t>%</w:t>
      </w:r>
      <w:r w:rsidR="00DE1F75" w:rsidRPr="00732F73">
        <w:rPr>
          <w:lang w:eastAsia="en-US"/>
        </w:rPr>
        <w:t>, sredstva d</w:t>
      </w:r>
      <w:r w:rsidR="00A4354F" w:rsidRPr="00732F73">
        <w:rPr>
          <w:lang w:eastAsia="en-US"/>
        </w:rPr>
        <w:t xml:space="preserve">ržavnog proračuna </w:t>
      </w:r>
      <w:r w:rsidR="00A80774" w:rsidRPr="00732F73">
        <w:rPr>
          <w:lang w:eastAsia="en-US"/>
        </w:rPr>
        <w:t>25</w:t>
      </w:r>
      <w:r w:rsidR="009153A2" w:rsidRPr="00732F73">
        <w:rPr>
          <w:lang w:eastAsia="en-US"/>
        </w:rPr>
        <w:t>%, a svi ostali prihodi</w:t>
      </w:r>
      <w:r w:rsidR="001E1E3A" w:rsidRPr="00732F73">
        <w:rPr>
          <w:lang w:eastAsia="en-US"/>
        </w:rPr>
        <w:t xml:space="preserve"> </w:t>
      </w:r>
      <w:r w:rsidR="00A30CC8" w:rsidRPr="00732F73">
        <w:rPr>
          <w:lang w:eastAsia="en-US"/>
        </w:rPr>
        <w:t>4</w:t>
      </w:r>
      <w:r w:rsidR="00567D80" w:rsidRPr="00732F73">
        <w:rPr>
          <w:lang w:eastAsia="en-US"/>
        </w:rPr>
        <w:t>%.</w:t>
      </w:r>
      <w:r w:rsidRPr="00732F73">
        <w:rPr>
          <w:lang w:eastAsia="en-US"/>
        </w:rPr>
        <w:t xml:space="preserve"> </w:t>
      </w:r>
    </w:p>
    <w:p w:rsidR="000575BD" w:rsidRPr="00732F73" w:rsidRDefault="000575BD" w:rsidP="00732F73">
      <w:pPr>
        <w:jc w:val="both"/>
        <w:rPr>
          <w:lang w:eastAsia="en-US"/>
        </w:rPr>
      </w:pPr>
    </w:p>
    <w:p w:rsidR="00934589" w:rsidRPr="00732F73" w:rsidRDefault="007D0796" w:rsidP="00732F73">
      <w:pPr>
        <w:jc w:val="both"/>
        <w:rPr>
          <w:lang w:eastAsia="en-US"/>
        </w:rPr>
      </w:pPr>
      <w:r w:rsidRPr="00732F73">
        <w:rPr>
          <w:lang w:eastAsia="en-US"/>
        </w:rPr>
        <w:t>Prihodi poslovanja ostvareni su u iznosu od 3.007.059.400 kn.</w:t>
      </w:r>
      <w:r w:rsidR="00934589" w:rsidRPr="00732F73">
        <w:rPr>
          <w:lang w:eastAsia="en-US"/>
        </w:rPr>
        <w:t xml:space="preserve"> </w:t>
      </w:r>
    </w:p>
    <w:p w:rsidR="00934589" w:rsidRPr="00732F73" w:rsidRDefault="00934589" w:rsidP="00732F73">
      <w:pPr>
        <w:jc w:val="both"/>
        <w:rPr>
          <w:lang w:eastAsia="en-US"/>
        </w:rPr>
      </w:pPr>
      <w:r w:rsidRPr="00732F73">
        <w:rPr>
          <w:b/>
          <w:lang w:eastAsia="en-US"/>
        </w:rPr>
        <w:t>Prihodi od pomoći iz inozemstva (darovnice) i od subjekata unutar općeg proračuna</w:t>
      </w:r>
      <w:r w:rsidRPr="00732F73">
        <w:rPr>
          <w:lang w:eastAsia="en-US"/>
        </w:rPr>
        <w:t xml:space="preserve"> </w:t>
      </w:r>
      <w:r w:rsidR="00E0595E" w:rsidRPr="00732F73">
        <w:rPr>
          <w:lang w:eastAsia="en-US"/>
        </w:rPr>
        <w:t>ostvareni</w:t>
      </w:r>
      <w:r w:rsidRPr="00732F73">
        <w:rPr>
          <w:lang w:eastAsia="en-US"/>
        </w:rPr>
        <w:t xml:space="preserve"> su u iznosu od 757.700.270 kn s inde</w:t>
      </w:r>
      <w:r w:rsidR="007649AA" w:rsidRPr="00732F73">
        <w:rPr>
          <w:lang w:eastAsia="en-US"/>
        </w:rPr>
        <w:t>ks</w:t>
      </w:r>
      <w:r w:rsidRPr="00732F73">
        <w:rPr>
          <w:lang w:eastAsia="en-US"/>
        </w:rPr>
        <w:t>om 98</w:t>
      </w:r>
      <w:r w:rsidR="007649AA" w:rsidRPr="00732F73">
        <w:rPr>
          <w:lang w:eastAsia="en-US"/>
        </w:rPr>
        <w:t xml:space="preserve">, </w:t>
      </w:r>
      <w:r w:rsidR="00FE7897" w:rsidRPr="00732F73">
        <w:rPr>
          <w:lang w:eastAsia="en-US"/>
        </w:rPr>
        <w:t xml:space="preserve">96% više u odnosu na ostvarenje u 2018. godini kada su </w:t>
      </w:r>
      <w:r w:rsidRPr="00732F73">
        <w:rPr>
          <w:lang w:eastAsia="en-US"/>
        </w:rPr>
        <w:t>iznosili 386.241.368 kn.</w:t>
      </w:r>
    </w:p>
    <w:p w:rsidR="00934589" w:rsidRPr="00732F73" w:rsidRDefault="00934589" w:rsidP="00732F73">
      <w:pPr>
        <w:autoSpaceDE w:val="0"/>
        <w:autoSpaceDN w:val="0"/>
        <w:adjustRightInd w:val="0"/>
        <w:jc w:val="both"/>
        <w:rPr>
          <w:lang w:eastAsia="en-US"/>
        </w:rPr>
      </w:pPr>
      <w:r w:rsidRPr="00732F73">
        <w:rPr>
          <w:b/>
          <w:lang w:eastAsia="en-US"/>
        </w:rPr>
        <w:t>Tekuće pomoći od međunarodnih organizacija te institucija i tijela EU</w:t>
      </w:r>
      <w:r w:rsidRPr="00732F73">
        <w:rPr>
          <w:lang w:eastAsia="en-US"/>
        </w:rPr>
        <w:t xml:space="preserve"> ostvarene su u ukupnom iznosu od 9.200.446 kn, a odnose se na EU donacije prekogranične suradnje Hrvatska-Srbija, Mađarska i Slovenija.</w:t>
      </w:r>
    </w:p>
    <w:p w:rsidR="00934589" w:rsidRPr="00732F73" w:rsidRDefault="00934589" w:rsidP="00732F73">
      <w:pPr>
        <w:autoSpaceDE w:val="0"/>
        <w:autoSpaceDN w:val="0"/>
        <w:adjustRightInd w:val="0"/>
        <w:jc w:val="both"/>
        <w:rPr>
          <w:lang w:eastAsia="en-US"/>
        </w:rPr>
      </w:pPr>
      <w:r w:rsidRPr="00732F73">
        <w:rPr>
          <w:b/>
          <w:lang w:eastAsia="en-US"/>
        </w:rPr>
        <w:t xml:space="preserve">Pomoći proračunu iz drugih proračuna </w:t>
      </w:r>
      <w:r w:rsidRPr="00732F73">
        <w:rPr>
          <w:lang w:eastAsia="en-US"/>
        </w:rPr>
        <w:t>ostvarene</w:t>
      </w:r>
      <w:r w:rsidR="00611F3D" w:rsidRPr="00732F73">
        <w:rPr>
          <w:lang w:eastAsia="en-US"/>
        </w:rPr>
        <w:t xml:space="preserve"> su iznosom od 128.588.027 kn. Sastoje se od k</w:t>
      </w:r>
      <w:r w:rsidRPr="00732F73">
        <w:rPr>
          <w:lang w:eastAsia="en-US"/>
        </w:rPr>
        <w:t>apitaln</w:t>
      </w:r>
      <w:r w:rsidR="00611F3D" w:rsidRPr="00732F73">
        <w:rPr>
          <w:lang w:eastAsia="en-US"/>
        </w:rPr>
        <w:t>ih</w:t>
      </w:r>
      <w:r w:rsidRPr="00732F73">
        <w:rPr>
          <w:lang w:eastAsia="en-US"/>
        </w:rPr>
        <w:t xml:space="preserve"> pomoći</w:t>
      </w:r>
      <w:r w:rsidR="00611F3D" w:rsidRPr="00732F73">
        <w:rPr>
          <w:lang w:eastAsia="en-US"/>
        </w:rPr>
        <w:t xml:space="preserve"> proračunu</w:t>
      </w:r>
      <w:r w:rsidRPr="00732F73">
        <w:rPr>
          <w:lang w:eastAsia="en-US"/>
        </w:rPr>
        <w:t xml:space="preserve"> iz državnog proračuna </w:t>
      </w:r>
      <w:r w:rsidR="00611F3D" w:rsidRPr="00732F73">
        <w:rPr>
          <w:lang w:eastAsia="en-US"/>
        </w:rPr>
        <w:t xml:space="preserve">koje su </w:t>
      </w:r>
      <w:r w:rsidRPr="00732F73">
        <w:rPr>
          <w:lang w:eastAsia="en-US"/>
        </w:rPr>
        <w:t>ostvarene u ukupnom iznosu od 117.788.034 kn s indeksom 100 u od</w:t>
      </w:r>
      <w:r w:rsidR="006B3DB3" w:rsidRPr="00732F73">
        <w:rPr>
          <w:lang w:eastAsia="en-US"/>
        </w:rPr>
        <w:t xml:space="preserve">nosu na planirano. Sa razdjela </w:t>
      </w:r>
      <w:r w:rsidRPr="00732F73">
        <w:rPr>
          <w:lang w:eastAsia="en-US"/>
        </w:rPr>
        <w:t xml:space="preserve">Ministarstva zaštite okoliša i energetike kroz učešće državnog proračuna za EU projekte povučeno je </w:t>
      </w:r>
      <w:r w:rsidR="00E75D4F" w:rsidRPr="00732F73">
        <w:rPr>
          <w:lang w:eastAsia="en-US"/>
        </w:rPr>
        <w:t xml:space="preserve">81.374.020 </w:t>
      </w:r>
      <w:r w:rsidRPr="00732F73">
        <w:rPr>
          <w:lang w:eastAsia="en-US"/>
        </w:rPr>
        <w:t>kn, za projekt Švicarska Darovnica povučeno je 20.000.000 kn, za nacionalni projekt navodnjavanja povučeno je 7.994.009 kn, te za I</w:t>
      </w:r>
      <w:r w:rsidR="006B3DB3" w:rsidRPr="00732F73">
        <w:rPr>
          <w:lang w:eastAsia="en-US"/>
        </w:rPr>
        <w:t xml:space="preserve">PA </w:t>
      </w:r>
      <w:r w:rsidRPr="00732F73">
        <w:rPr>
          <w:lang w:eastAsia="en-US"/>
        </w:rPr>
        <w:t>projek</w:t>
      </w:r>
      <w:r w:rsidR="006B3DB3" w:rsidRPr="00732F73">
        <w:rPr>
          <w:lang w:eastAsia="en-US"/>
        </w:rPr>
        <w:t>te  Sisak i Kn</w:t>
      </w:r>
      <w:r w:rsidRPr="00732F73">
        <w:rPr>
          <w:lang w:eastAsia="en-US"/>
        </w:rPr>
        <w:t>i</w:t>
      </w:r>
      <w:r w:rsidR="006B3DB3" w:rsidRPr="00732F73">
        <w:rPr>
          <w:lang w:eastAsia="en-US"/>
        </w:rPr>
        <w:t xml:space="preserve">n </w:t>
      </w:r>
      <w:r w:rsidR="00E75D4F" w:rsidRPr="00732F73">
        <w:rPr>
          <w:lang w:eastAsia="en-US"/>
        </w:rPr>
        <w:t xml:space="preserve">8.420.005 </w:t>
      </w:r>
      <w:r w:rsidRPr="00732F73">
        <w:rPr>
          <w:lang w:eastAsia="en-US"/>
        </w:rPr>
        <w:t>kn.</w:t>
      </w:r>
    </w:p>
    <w:p w:rsidR="00611F3D" w:rsidRPr="00732F73" w:rsidRDefault="00611F3D" w:rsidP="00732F73">
      <w:pPr>
        <w:autoSpaceDE w:val="0"/>
        <w:autoSpaceDN w:val="0"/>
        <w:adjustRightInd w:val="0"/>
        <w:jc w:val="both"/>
        <w:rPr>
          <w:lang w:eastAsia="en-US"/>
        </w:rPr>
      </w:pPr>
      <w:r w:rsidRPr="00732F73">
        <w:rPr>
          <w:lang w:eastAsia="en-US"/>
        </w:rPr>
        <w:t xml:space="preserve">Kapitalne pomoći proračunu iz proračuna lokalne i regionalne samouprave ostvarene su u iznosu 10.799.993 kn s indeksom 101 u odnosu na plan, od čega se iznos od 10.706.493 kn odnosi na </w:t>
      </w:r>
      <w:r w:rsidR="006B3DB3" w:rsidRPr="00732F73">
        <w:rPr>
          <w:lang w:eastAsia="en-US"/>
        </w:rPr>
        <w:t>učešće u sufinanciranju</w:t>
      </w:r>
      <w:r w:rsidRPr="00732F73">
        <w:rPr>
          <w:lang w:eastAsia="en-US"/>
        </w:rPr>
        <w:t xml:space="preserve"> EU projekata– lokalna komponenta i 93.500 kn za projekte navodnjavanja. </w:t>
      </w:r>
    </w:p>
    <w:p w:rsidR="00D2349A" w:rsidRPr="00732F73" w:rsidRDefault="00611F3D" w:rsidP="00732F73">
      <w:pPr>
        <w:autoSpaceDE w:val="0"/>
        <w:autoSpaceDN w:val="0"/>
        <w:adjustRightInd w:val="0"/>
        <w:jc w:val="both"/>
        <w:rPr>
          <w:lang w:eastAsia="en-US"/>
        </w:rPr>
      </w:pPr>
      <w:r w:rsidRPr="00732F73">
        <w:rPr>
          <w:b/>
          <w:lang w:eastAsia="en-US"/>
        </w:rPr>
        <w:t>Pomoći temeljem prijenosa EU sredstava</w:t>
      </w:r>
      <w:r w:rsidRPr="00732F73">
        <w:rPr>
          <w:lang w:eastAsia="en-US"/>
        </w:rPr>
        <w:t xml:space="preserve"> ostvarene su  u ukupnom iznosu od 619.911.797 kn s indeksom od 99 u odnosu na plan.</w:t>
      </w:r>
      <w:r w:rsidR="00D2349A" w:rsidRPr="00732F73">
        <w:rPr>
          <w:lang w:eastAsia="en-US"/>
        </w:rPr>
        <w:t xml:space="preserve"> Kapitalne pomoći temeljem prijenosa EU sredstava u ukupnom iznosu 604.688.270 kn ostvarene su s indeksom 100 u odnosu na plan, a sastoje se od bespovratnih EU sredstava putem državnog proračuna sa razdjela Ministarstva zaštite okoliša i energetike i to: za projekte poboljšanja </w:t>
      </w:r>
      <w:proofErr w:type="spellStart"/>
      <w:r w:rsidR="00D2349A" w:rsidRPr="00732F73">
        <w:rPr>
          <w:lang w:eastAsia="en-US"/>
        </w:rPr>
        <w:t>vodnokomunalne</w:t>
      </w:r>
      <w:proofErr w:type="spellEnd"/>
      <w:r w:rsidR="00D2349A" w:rsidRPr="00732F73">
        <w:rPr>
          <w:lang w:eastAsia="en-US"/>
        </w:rPr>
        <w:t xml:space="preserve"> infrastrukture u iznosu 500.240.278 kn i za projekte obrane od poplava u iznosu 104.447.992 kn.</w:t>
      </w:r>
      <w:r w:rsidR="00D2349A" w:rsidRPr="00732F73">
        <w:t xml:space="preserve"> </w:t>
      </w:r>
      <w:r w:rsidR="00D2349A" w:rsidRPr="00732F73">
        <w:rPr>
          <w:lang w:eastAsia="en-US"/>
        </w:rPr>
        <w:t>U odnosu na izvršenje 2018. godine ove pomoći veće su 128%, prvenstveno iz razloga pojačanih aktivnosti provedbe projekata sufinanciranih bespovratnim sredstvima EU iz Operativnog programa „Konkurentnost i kohezija“, gdje Hrvatske vode imaju ulogu Posredničkog tijela razine 2 u provedbi specifičnih ciljeva 5b1 – Jačanje sustava upravljanja katastrofama i specifičnih ciljeva 6ii1 i 6ii2 – Ulaganje u vodni sektor. U provedbi specifičnih ciljeva 5b1 Hrvatske vode ujedno su i krajnji korisnik bespovratnih sredstava. Ove pomoći su u 2018. godini bile evidentirane u okviru Kapitalnih pomoći proračunu iz drugih proračuna.</w:t>
      </w:r>
    </w:p>
    <w:p w:rsidR="00611F3D" w:rsidRPr="00732F73" w:rsidRDefault="00611F3D" w:rsidP="00732F73">
      <w:pPr>
        <w:autoSpaceDE w:val="0"/>
        <w:autoSpaceDN w:val="0"/>
        <w:adjustRightInd w:val="0"/>
        <w:jc w:val="both"/>
        <w:rPr>
          <w:lang w:eastAsia="en-US"/>
        </w:rPr>
      </w:pPr>
      <w:r w:rsidRPr="00732F73">
        <w:rPr>
          <w:lang w:eastAsia="en-US"/>
        </w:rPr>
        <w:t xml:space="preserve"> </w:t>
      </w:r>
      <w:r w:rsidR="0052572E" w:rsidRPr="00732F73">
        <w:rPr>
          <w:lang w:eastAsia="en-US"/>
        </w:rPr>
        <w:t>U okviru istih su i t</w:t>
      </w:r>
      <w:r w:rsidRPr="00732F73">
        <w:rPr>
          <w:lang w:eastAsia="en-US"/>
        </w:rPr>
        <w:t>ekuće pomoći temeljem pri</w:t>
      </w:r>
      <w:r w:rsidR="00D2349A" w:rsidRPr="00732F73">
        <w:rPr>
          <w:lang w:eastAsia="en-US"/>
        </w:rPr>
        <w:t>jenosa EU sredstava ostvarene</w:t>
      </w:r>
      <w:r w:rsidRPr="00732F73">
        <w:rPr>
          <w:lang w:eastAsia="en-US"/>
        </w:rPr>
        <w:t xml:space="preserve"> u ukupnom iznosu </w:t>
      </w:r>
      <w:r w:rsidR="00D2349A" w:rsidRPr="00732F73">
        <w:rPr>
          <w:lang w:eastAsia="en-US"/>
        </w:rPr>
        <w:t xml:space="preserve">od </w:t>
      </w:r>
      <w:r w:rsidRPr="00732F73">
        <w:rPr>
          <w:lang w:eastAsia="en-US"/>
        </w:rPr>
        <w:t>15.223.527 kn, s indeksom 85 u odnosu na plan. Sastoje se od bespovratnih EU sredstava putem državnog proraču</w:t>
      </w:r>
      <w:r w:rsidR="0052572E" w:rsidRPr="00732F73">
        <w:rPr>
          <w:lang w:eastAsia="en-US"/>
        </w:rPr>
        <w:t xml:space="preserve">na i to 340.199 kn sa razdjela </w:t>
      </w:r>
      <w:r w:rsidRPr="00732F73">
        <w:rPr>
          <w:lang w:eastAsia="en-US"/>
        </w:rPr>
        <w:t xml:space="preserve">Ministarstva zaštite okoliša i energetike za projekt </w:t>
      </w:r>
      <w:proofErr w:type="spellStart"/>
      <w:r w:rsidRPr="00732F73">
        <w:rPr>
          <w:lang w:eastAsia="en-US"/>
        </w:rPr>
        <w:t>Naturavita</w:t>
      </w:r>
      <w:proofErr w:type="spellEnd"/>
      <w:r w:rsidRPr="00732F73">
        <w:rPr>
          <w:lang w:eastAsia="en-US"/>
        </w:rPr>
        <w:t xml:space="preserve"> i 14.883.328 kn sa razdjela Ministarstva regionalnog razvoja </w:t>
      </w:r>
      <w:r w:rsidR="0052572E" w:rsidRPr="00732F73">
        <w:rPr>
          <w:lang w:eastAsia="en-US"/>
        </w:rPr>
        <w:t>i EU fondova za tehničku pomoć za Posrednički tijelo razine 2.</w:t>
      </w:r>
    </w:p>
    <w:p w:rsidR="00FE7897" w:rsidRPr="00732F73" w:rsidRDefault="00FE7897" w:rsidP="00732F73">
      <w:pPr>
        <w:autoSpaceDE w:val="0"/>
        <w:autoSpaceDN w:val="0"/>
        <w:adjustRightInd w:val="0"/>
        <w:jc w:val="both"/>
        <w:rPr>
          <w:lang w:eastAsia="en-US"/>
        </w:rPr>
      </w:pPr>
      <w:r w:rsidRPr="00732F73">
        <w:rPr>
          <w:b/>
          <w:lang w:eastAsia="en-US"/>
        </w:rPr>
        <w:lastRenderedPageBreak/>
        <w:t>Prihodi od imovine</w:t>
      </w:r>
      <w:r w:rsidRPr="00732F73">
        <w:rPr>
          <w:lang w:eastAsia="en-US"/>
        </w:rPr>
        <w:t xml:space="preserve"> u ukupnom iznosu 8.826.779 kn, ostvareni </w:t>
      </w:r>
      <w:r w:rsidR="00D2349A" w:rsidRPr="00732F73">
        <w:rPr>
          <w:lang w:eastAsia="en-US"/>
        </w:rPr>
        <w:t xml:space="preserve">su </w:t>
      </w:r>
      <w:r w:rsidRPr="00732F73">
        <w:rPr>
          <w:lang w:eastAsia="en-US"/>
        </w:rPr>
        <w:t>s indeksom 75 u odnosu na plan, a sastoje se od prihoda od financijske imovine 7.054.048 kn (zatezne kamate, kamate na obročnu otplatu i ostalo) i prihoda od nefinancijske imovine (zakup i iznajmljivanje imovine) 1.772.731 kn. Ovi prihodi su u</w:t>
      </w:r>
      <w:r w:rsidR="00EE68BB" w:rsidRPr="00732F73">
        <w:rPr>
          <w:lang w:eastAsia="en-US"/>
        </w:rPr>
        <w:t xml:space="preserve"> 2019. godini ostvareni za 26%</w:t>
      </w:r>
      <w:r w:rsidR="001A2EE4" w:rsidRPr="00732F73">
        <w:rPr>
          <w:lang w:eastAsia="en-US"/>
        </w:rPr>
        <w:t xml:space="preserve"> u odnosu na 2018.godinu.</w:t>
      </w:r>
    </w:p>
    <w:p w:rsidR="00934589" w:rsidRPr="00732F73" w:rsidRDefault="00230511" w:rsidP="00732F73">
      <w:pPr>
        <w:autoSpaceDE w:val="0"/>
        <w:autoSpaceDN w:val="0"/>
        <w:adjustRightInd w:val="0"/>
        <w:jc w:val="both"/>
        <w:rPr>
          <w:lang w:eastAsia="en-US"/>
        </w:rPr>
      </w:pPr>
      <w:r w:rsidRPr="00732F73">
        <w:rPr>
          <w:b/>
          <w:lang w:eastAsia="en-US"/>
        </w:rPr>
        <w:t>Prihodi od upravnih i administrativnih pristojbi, pristojbi po posebnim propisima i naknada</w:t>
      </w:r>
      <w:r w:rsidRPr="00732F73">
        <w:rPr>
          <w:lang w:eastAsia="en-US"/>
        </w:rPr>
        <w:t xml:space="preserve"> ostvareni su u ukupnom iznosu od 2.197.163.852 kn s indeksom 10</w:t>
      </w:r>
      <w:r w:rsidR="001A2EE4" w:rsidRPr="00732F73">
        <w:rPr>
          <w:lang w:eastAsia="en-US"/>
        </w:rPr>
        <w:t>1</w:t>
      </w:r>
      <w:r w:rsidRPr="00732F73">
        <w:rPr>
          <w:lang w:eastAsia="en-US"/>
        </w:rPr>
        <w:t xml:space="preserve"> u odnosu na plan.</w:t>
      </w:r>
    </w:p>
    <w:p w:rsidR="00567D80" w:rsidRPr="00732F73" w:rsidRDefault="002A327E" w:rsidP="00732F73">
      <w:pPr>
        <w:jc w:val="both"/>
        <w:rPr>
          <w:rFonts w:eastAsia="Calibri"/>
        </w:rPr>
      </w:pPr>
      <w:r w:rsidRPr="00732F73">
        <w:rPr>
          <w:lang w:eastAsia="en-US"/>
        </w:rPr>
        <w:t>Sastoje se od</w:t>
      </w:r>
      <w:r w:rsidR="00230511" w:rsidRPr="00732F73">
        <w:rPr>
          <w:lang w:eastAsia="en-US"/>
        </w:rPr>
        <w:t xml:space="preserve"> prihoda</w:t>
      </w:r>
      <w:r w:rsidR="00E37AB5" w:rsidRPr="00732F73">
        <w:rPr>
          <w:lang w:eastAsia="en-US"/>
        </w:rPr>
        <w:t xml:space="preserve"> od vodnog gospodarstva</w:t>
      </w:r>
      <w:r w:rsidR="00230511" w:rsidRPr="00732F73">
        <w:rPr>
          <w:lang w:eastAsia="en-US"/>
        </w:rPr>
        <w:t xml:space="preserve"> (izvorni prihodi Hrvatskih voda) koji su ostvareni </w:t>
      </w:r>
      <w:r w:rsidR="005F3F48" w:rsidRPr="00732F73">
        <w:rPr>
          <w:lang w:eastAsia="en-US"/>
        </w:rPr>
        <w:t xml:space="preserve"> iznos</w:t>
      </w:r>
      <w:r w:rsidR="00230511" w:rsidRPr="00732F73">
        <w:rPr>
          <w:lang w:eastAsia="en-US"/>
        </w:rPr>
        <w:t>om od</w:t>
      </w:r>
      <w:r w:rsidR="005F3F48" w:rsidRPr="00732F73">
        <w:rPr>
          <w:lang w:eastAsia="en-US"/>
        </w:rPr>
        <w:t xml:space="preserve"> </w:t>
      </w:r>
      <w:r w:rsidR="0032742D" w:rsidRPr="00732F73">
        <w:rPr>
          <w:lang w:eastAsia="en-US"/>
        </w:rPr>
        <w:t>2.149</w:t>
      </w:r>
      <w:r w:rsidR="00A30CC8" w:rsidRPr="00732F73">
        <w:rPr>
          <w:lang w:eastAsia="en-US"/>
        </w:rPr>
        <w:t>.</w:t>
      </w:r>
      <w:r w:rsidR="0032742D" w:rsidRPr="00732F73">
        <w:rPr>
          <w:lang w:eastAsia="en-US"/>
        </w:rPr>
        <w:t>029</w:t>
      </w:r>
      <w:r w:rsidR="00A30CC8" w:rsidRPr="00732F73">
        <w:rPr>
          <w:lang w:eastAsia="en-US"/>
        </w:rPr>
        <w:t>.</w:t>
      </w:r>
      <w:r w:rsidR="0032742D" w:rsidRPr="00732F73">
        <w:rPr>
          <w:lang w:eastAsia="en-US"/>
        </w:rPr>
        <w:t>765</w:t>
      </w:r>
      <w:r w:rsidR="00E30CE2" w:rsidRPr="00732F73">
        <w:rPr>
          <w:lang w:eastAsia="en-US"/>
        </w:rPr>
        <w:t xml:space="preserve"> </w:t>
      </w:r>
      <w:r w:rsidR="000575BD" w:rsidRPr="00732F73">
        <w:rPr>
          <w:lang w:eastAsia="en-US"/>
        </w:rPr>
        <w:t xml:space="preserve">kn, </w:t>
      </w:r>
      <w:r w:rsidR="00CE3103" w:rsidRPr="00732F73">
        <w:rPr>
          <w:lang w:eastAsia="en-US"/>
        </w:rPr>
        <w:t xml:space="preserve">sa indeksom </w:t>
      </w:r>
      <w:r w:rsidR="00E03B1C" w:rsidRPr="00732F73">
        <w:rPr>
          <w:lang w:eastAsia="en-US"/>
        </w:rPr>
        <w:t>101</w:t>
      </w:r>
      <w:r w:rsidR="00116560" w:rsidRPr="00732F73">
        <w:rPr>
          <w:lang w:eastAsia="en-US"/>
        </w:rPr>
        <w:t xml:space="preserve"> od ukupno planiranih, </w:t>
      </w:r>
      <w:r w:rsidR="00E03B1C" w:rsidRPr="00732F73">
        <w:rPr>
          <w:lang w:eastAsia="en-US"/>
        </w:rPr>
        <w:t>3</w:t>
      </w:r>
      <w:r w:rsidR="00887FB4" w:rsidRPr="00732F73">
        <w:rPr>
          <w:lang w:eastAsia="en-US"/>
        </w:rPr>
        <w:t>,5</w:t>
      </w:r>
      <w:r w:rsidR="000575BD" w:rsidRPr="00732F73">
        <w:rPr>
          <w:lang w:eastAsia="en-US"/>
        </w:rPr>
        <w:t>%</w:t>
      </w:r>
      <w:r w:rsidR="00F430EC" w:rsidRPr="00732F73">
        <w:rPr>
          <w:lang w:eastAsia="en-US"/>
        </w:rPr>
        <w:t xml:space="preserve"> </w:t>
      </w:r>
      <w:r w:rsidR="00A30CC8" w:rsidRPr="00732F73">
        <w:rPr>
          <w:lang w:eastAsia="en-US"/>
        </w:rPr>
        <w:t>manje</w:t>
      </w:r>
      <w:r w:rsidR="00F430EC" w:rsidRPr="00732F73">
        <w:rPr>
          <w:lang w:eastAsia="en-US"/>
        </w:rPr>
        <w:t xml:space="preserve"> u odnosu na 201</w:t>
      </w:r>
      <w:r w:rsidR="00A30CC8" w:rsidRPr="00732F73">
        <w:rPr>
          <w:lang w:eastAsia="en-US"/>
        </w:rPr>
        <w:t>8</w:t>
      </w:r>
      <w:r w:rsidR="000575BD" w:rsidRPr="00732F73">
        <w:rPr>
          <w:lang w:eastAsia="en-US"/>
        </w:rPr>
        <w:t>.</w:t>
      </w:r>
      <w:r w:rsidR="00945840" w:rsidRPr="00732F73">
        <w:rPr>
          <w:lang w:eastAsia="en-US"/>
        </w:rPr>
        <w:t xml:space="preserve"> godin</w:t>
      </w:r>
      <w:r w:rsidR="00E03B1C" w:rsidRPr="00732F73">
        <w:rPr>
          <w:lang w:eastAsia="en-US"/>
        </w:rPr>
        <w:t>u</w:t>
      </w:r>
      <w:r w:rsidR="006A06E8" w:rsidRPr="00732F73">
        <w:rPr>
          <w:lang w:eastAsia="en-US"/>
        </w:rPr>
        <w:t xml:space="preserve"> i ostalih nespomenutih prihoda</w:t>
      </w:r>
      <w:r w:rsidR="00945840" w:rsidRPr="00732F73">
        <w:rPr>
          <w:lang w:eastAsia="en-US"/>
        </w:rPr>
        <w:t>.</w:t>
      </w:r>
      <w:r w:rsidR="00116560" w:rsidRPr="00732F73">
        <w:rPr>
          <w:lang w:eastAsia="en-US"/>
        </w:rPr>
        <w:t xml:space="preserve"> </w:t>
      </w:r>
      <w:r w:rsidR="00EE68BB" w:rsidRPr="00732F73">
        <w:rPr>
          <w:lang w:eastAsia="en-US"/>
        </w:rPr>
        <w:t>I</w:t>
      </w:r>
      <w:r w:rsidR="00070B73" w:rsidRPr="00732F73">
        <w:rPr>
          <w:lang w:eastAsia="en-US"/>
        </w:rPr>
        <w:t xml:space="preserve">zvorni prihodi </w:t>
      </w:r>
      <w:r w:rsidR="00070B73" w:rsidRPr="00732F73">
        <w:rPr>
          <w:rFonts w:eastAsia="Calibri"/>
        </w:rPr>
        <w:t xml:space="preserve">sastoje se od namjenskih vodnih naknada utvrđenih Zakonom o financiranju vodnog gospodarstva; Naknada za uređenje voda u iznosu od </w:t>
      </w:r>
      <w:r w:rsidR="00887FB4" w:rsidRPr="00732F73">
        <w:rPr>
          <w:rFonts w:eastAsia="Calibri"/>
        </w:rPr>
        <w:t>913</w:t>
      </w:r>
      <w:r w:rsidR="00331C35" w:rsidRPr="00732F73">
        <w:rPr>
          <w:rFonts w:eastAsia="Calibri"/>
        </w:rPr>
        <w:t>.</w:t>
      </w:r>
      <w:r w:rsidR="00887FB4" w:rsidRPr="00732F73">
        <w:rPr>
          <w:rFonts w:eastAsia="Calibri"/>
        </w:rPr>
        <w:t>262</w:t>
      </w:r>
      <w:r w:rsidR="00331C35" w:rsidRPr="00732F73">
        <w:rPr>
          <w:rFonts w:eastAsia="Calibri"/>
        </w:rPr>
        <w:t>.</w:t>
      </w:r>
      <w:r w:rsidR="00887FB4" w:rsidRPr="00732F73">
        <w:rPr>
          <w:rFonts w:eastAsia="Calibri"/>
        </w:rPr>
        <w:t>598</w:t>
      </w:r>
      <w:r w:rsidR="00070B73" w:rsidRPr="00732F73">
        <w:rPr>
          <w:rFonts w:eastAsia="Calibri"/>
        </w:rPr>
        <w:t xml:space="preserve"> kn</w:t>
      </w:r>
      <w:r w:rsidR="00070B73" w:rsidRPr="00732F73">
        <w:rPr>
          <w:lang w:eastAsia="en-US"/>
        </w:rPr>
        <w:t xml:space="preserve"> s indeksom ostvarenja </w:t>
      </w:r>
      <w:r w:rsidR="00887FB4" w:rsidRPr="00732F73">
        <w:rPr>
          <w:lang w:eastAsia="en-US"/>
        </w:rPr>
        <w:t>103</w:t>
      </w:r>
      <w:r w:rsidR="000E5F95" w:rsidRPr="00732F73">
        <w:rPr>
          <w:lang w:eastAsia="en-US"/>
        </w:rPr>
        <w:t>,</w:t>
      </w:r>
      <w:r w:rsidR="00070B73" w:rsidRPr="00732F73">
        <w:rPr>
          <w:rFonts w:eastAsia="Calibri"/>
        </w:rPr>
        <w:t xml:space="preserve"> Naknada za korištenje voda </w:t>
      </w:r>
      <w:r w:rsidR="00887FB4" w:rsidRPr="00732F73">
        <w:rPr>
          <w:rFonts w:eastAsia="Calibri"/>
        </w:rPr>
        <w:t>732</w:t>
      </w:r>
      <w:r w:rsidR="00331C35" w:rsidRPr="00732F73">
        <w:rPr>
          <w:rFonts w:eastAsia="Calibri"/>
        </w:rPr>
        <w:t>.</w:t>
      </w:r>
      <w:r w:rsidR="00887FB4" w:rsidRPr="00732F73">
        <w:rPr>
          <w:rFonts w:eastAsia="Calibri"/>
        </w:rPr>
        <w:t>683</w:t>
      </w:r>
      <w:r w:rsidR="00331C35" w:rsidRPr="00732F73">
        <w:rPr>
          <w:rFonts w:eastAsia="Calibri"/>
        </w:rPr>
        <w:t>.</w:t>
      </w:r>
      <w:r w:rsidR="00887FB4" w:rsidRPr="00732F73">
        <w:rPr>
          <w:rFonts w:eastAsia="Calibri"/>
        </w:rPr>
        <w:t>096</w:t>
      </w:r>
      <w:r w:rsidR="00070B73" w:rsidRPr="00732F73">
        <w:rPr>
          <w:rFonts w:eastAsia="Calibri"/>
        </w:rPr>
        <w:t xml:space="preserve"> kn</w:t>
      </w:r>
      <w:r w:rsidR="00070B73" w:rsidRPr="00732F73">
        <w:rPr>
          <w:lang w:eastAsia="en-US"/>
        </w:rPr>
        <w:t xml:space="preserve"> s indeksom ostvarenja </w:t>
      </w:r>
      <w:r w:rsidR="00887FB4" w:rsidRPr="00732F73">
        <w:rPr>
          <w:lang w:eastAsia="en-US"/>
        </w:rPr>
        <w:t>100</w:t>
      </w:r>
      <w:r w:rsidR="00070B73" w:rsidRPr="00732F73">
        <w:rPr>
          <w:rFonts w:eastAsia="Calibri"/>
        </w:rPr>
        <w:t xml:space="preserve">, Vodni doprinos u iznosu </w:t>
      </w:r>
      <w:r w:rsidR="00887FB4" w:rsidRPr="00732F73">
        <w:rPr>
          <w:rFonts w:eastAsia="Calibri"/>
        </w:rPr>
        <w:t>239</w:t>
      </w:r>
      <w:r w:rsidR="00331C35" w:rsidRPr="00732F73">
        <w:rPr>
          <w:rFonts w:eastAsia="Calibri"/>
        </w:rPr>
        <w:t>.</w:t>
      </w:r>
      <w:r w:rsidR="00887FB4" w:rsidRPr="00732F73">
        <w:rPr>
          <w:rFonts w:eastAsia="Calibri"/>
        </w:rPr>
        <w:t>748</w:t>
      </w:r>
      <w:r w:rsidR="00331C35" w:rsidRPr="00732F73">
        <w:rPr>
          <w:rFonts w:eastAsia="Calibri"/>
        </w:rPr>
        <w:t>.</w:t>
      </w:r>
      <w:r w:rsidR="00887FB4" w:rsidRPr="00732F73">
        <w:rPr>
          <w:rFonts w:eastAsia="Calibri"/>
        </w:rPr>
        <w:t>685</w:t>
      </w:r>
      <w:r w:rsidR="00070B73" w:rsidRPr="00732F73">
        <w:rPr>
          <w:rFonts w:eastAsia="Calibri"/>
        </w:rPr>
        <w:t xml:space="preserve"> kn</w:t>
      </w:r>
      <w:r w:rsidR="00070B73" w:rsidRPr="00732F73">
        <w:rPr>
          <w:lang w:eastAsia="en-US"/>
        </w:rPr>
        <w:t xml:space="preserve"> s indeksom ostvarenja </w:t>
      </w:r>
      <w:r w:rsidR="00887FB4" w:rsidRPr="00732F73">
        <w:rPr>
          <w:lang w:eastAsia="en-US"/>
        </w:rPr>
        <w:t>98</w:t>
      </w:r>
      <w:r w:rsidR="00070B73" w:rsidRPr="00732F73">
        <w:rPr>
          <w:rFonts w:eastAsia="Calibri"/>
        </w:rPr>
        <w:t>, N</w:t>
      </w:r>
      <w:r w:rsidR="001F7435" w:rsidRPr="00732F73">
        <w:rPr>
          <w:rFonts w:eastAsia="Calibri"/>
        </w:rPr>
        <w:t>aknada za zaštitu voda u iznosu</w:t>
      </w:r>
      <w:r w:rsidR="00070B73" w:rsidRPr="00732F73">
        <w:rPr>
          <w:rFonts w:eastAsia="Calibri"/>
        </w:rPr>
        <w:t xml:space="preserve"> </w:t>
      </w:r>
      <w:r w:rsidR="00887FB4" w:rsidRPr="00732F73">
        <w:rPr>
          <w:rFonts w:eastAsia="Calibri"/>
        </w:rPr>
        <w:t>263</w:t>
      </w:r>
      <w:r w:rsidR="00331C35" w:rsidRPr="00732F73">
        <w:rPr>
          <w:rFonts w:eastAsia="Calibri"/>
        </w:rPr>
        <w:t>.</w:t>
      </w:r>
      <w:r w:rsidR="00887FB4" w:rsidRPr="00732F73">
        <w:rPr>
          <w:rFonts w:eastAsia="Calibri"/>
        </w:rPr>
        <w:t>335</w:t>
      </w:r>
      <w:r w:rsidR="00331C35" w:rsidRPr="00732F73">
        <w:rPr>
          <w:rFonts w:eastAsia="Calibri"/>
        </w:rPr>
        <w:t>.</w:t>
      </w:r>
      <w:r w:rsidR="00887FB4" w:rsidRPr="00732F73">
        <w:rPr>
          <w:rFonts w:eastAsia="Calibri"/>
        </w:rPr>
        <w:t>386</w:t>
      </w:r>
      <w:r w:rsidR="00070B73" w:rsidRPr="00732F73">
        <w:rPr>
          <w:rFonts w:eastAsia="Calibri"/>
        </w:rPr>
        <w:t xml:space="preserve"> kn</w:t>
      </w:r>
      <w:r w:rsidR="00070B73" w:rsidRPr="00732F73">
        <w:rPr>
          <w:lang w:eastAsia="en-US"/>
        </w:rPr>
        <w:t xml:space="preserve"> s indeksom ostvarenja </w:t>
      </w:r>
      <w:r w:rsidR="00887FB4" w:rsidRPr="00732F73">
        <w:rPr>
          <w:lang w:eastAsia="en-US"/>
        </w:rPr>
        <w:t>100</w:t>
      </w:r>
      <w:r w:rsidR="00070B73" w:rsidRPr="00732F73">
        <w:rPr>
          <w:rFonts w:eastAsia="Calibri"/>
        </w:rPr>
        <w:t>. Vrijednosno najznačajnija je na</w:t>
      </w:r>
      <w:r w:rsidR="00E97697" w:rsidRPr="00732F73">
        <w:rPr>
          <w:rFonts w:eastAsia="Calibri"/>
        </w:rPr>
        <w:t xml:space="preserve">knada za uređenje voda i čini </w:t>
      </w:r>
      <w:r w:rsidR="00331C35" w:rsidRPr="00732F73">
        <w:rPr>
          <w:rFonts w:eastAsia="Calibri"/>
        </w:rPr>
        <w:t>43</w:t>
      </w:r>
      <w:r w:rsidR="00070B73" w:rsidRPr="00732F73">
        <w:rPr>
          <w:rFonts w:eastAsia="Calibri"/>
        </w:rPr>
        <w:t>% od ukupno ostvarenih vodnih naknada.</w:t>
      </w:r>
      <w:r w:rsidR="003B00D2" w:rsidRPr="00732F73">
        <w:rPr>
          <w:rFonts w:eastAsia="Calibri"/>
        </w:rPr>
        <w:t xml:space="preserve"> Također je ova naknada i u</w:t>
      </w:r>
      <w:r w:rsidR="00331C35" w:rsidRPr="00732F73">
        <w:rPr>
          <w:rFonts w:eastAsia="Calibri"/>
        </w:rPr>
        <w:t xml:space="preserve"> </w:t>
      </w:r>
      <w:r w:rsidR="003B00D2" w:rsidRPr="00732F73">
        <w:rPr>
          <w:rFonts w:eastAsia="Calibri"/>
        </w:rPr>
        <w:t>201</w:t>
      </w:r>
      <w:r w:rsidR="00331C35" w:rsidRPr="00732F73">
        <w:rPr>
          <w:rFonts w:eastAsia="Calibri"/>
        </w:rPr>
        <w:t>8</w:t>
      </w:r>
      <w:r w:rsidR="003B00D2" w:rsidRPr="00732F73">
        <w:rPr>
          <w:rFonts w:eastAsia="Calibri"/>
        </w:rPr>
        <w:t>. godini činila najveći dio u ukupnim naknadama.</w:t>
      </w:r>
    </w:p>
    <w:p w:rsidR="006A06E8" w:rsidRPr="00732F73" w:rsidRDefault="006A06E8" w:rsidP="00732F73">
      <w:pPr>
        <w:autoSpaceDE w:val="0"/>
        <w:autoSpaceDN w:val="0"/>
        <w:adjustRightInd w:val="0"/>
        <w:jc w:val="both"/>
        <w:rPr>
          <w:lang w:eastAsia="en-US"/>
        </w:rPr>
      </w:pPr>
      <w:r w:rsidRPr="00732F73">
        <w:rPr>
          <w:lang w:eastAsia="en-US"/>
        </w:rPr>
        <w:t xml:space="preserve">Ostali nespomenuti prihodi ostvareni su u iznosu od 48.134.087 kn, s indeksom 89 u odnosu na plan, a odnose se na refundacije od javnih isporučitelja vodnih usluga s naslova korištenih kredita za obnovu i razvitak </w:t>
      </w:r>
      <w:proofErr w:type="spellStart"/>
      <w:r w:rsidRPr="00732F73">
        <w:rPr>
          <w:lang w:eastAsia="en-US"/>
        </w:rPr>
        <w:t>vodnogospodarske</w:t>
      </w:r>
      <w:proofErr w:type="spellEnd"/>
      <w:r w:rsidRPr="00732F73">
        <w:rPr>
          <w:lang w:eastAsia="en-US"/>
        </w:rPr>
        <w:t xml:space="preserve"> infrastrukture (Jadran II, Unutarnje vode, HBOR) u iznosu 35.265.501 kn, refundacije s osnova naplate troškova ovrha putem odvjetnika 807.117 kn, refundacija troškova po konačnim obračunima radova i refundacije troškova iz ranijih godina 8.124.168 kn, prihodi od naplate police osiguranja temeljem procjene štete 1.579.753 kn, prihodi s osnova naplaćenih ugovornih kazni 2.355.523 kn i ostalo.</w:t>
      </w:r>
    </w:p>
    <w:p w:rsidR="00EE68BB" w:rsidRPr="00732F73" w:rsidRDefault="00EE68BB" w:rsidP="00732F73">
      <w:pPr>
        <w:autoSpaceDE w:val="0"/>
        <w:autoSpaceDN w:val="0"/>
        <w:adjustRightInd w:val="0"/>
        <w:jc w:val="both"/>
        <w:rPr>
          <w:lang w:eastAsia="en-US"/>
        </w:rPr>
      </w:pPr>
      <w:r w:rsidRPr="00732F73">
        <w:rPr>
          <w:b/>
          <w:lang w:eastAsia="en-US"/>
        </w:rPr>
        <w:t>Prihodi od prodaje proizvoda i roba te pruženih usluga i prihodi od donacija</w:t>
      </w:r>
      <w:r w:rsidR="00AD502E" w:rsidRPr="00732F73">
        <w:rPr>
          <w:lang w:eastAsia="en-US"/>
        </w:rPr>
        <w:t xml:space="preserve"> ostvareni su u ukupnom iznosu od 43.368.499 kn, s indeksom od 68 u odnosu na plan odnosno 32% manje, dok su u odnosu na isto razdoblje 2018. veći za 50%.</w:t>
      </w:r>
    </w:p>
    <w:p w:rsidR="0008054C" w:rsidRPr="00732F73" w:rsidRDefault="00AD502E" w:rsidP="00732F73">
      <w:pPr>
        <w:autoSpaceDE w:val="0"/>
        <w:autoSpaceDN w:val="0"/>
        <w:adjustRightInd w:val="0"/>
        <w:jc w:val="both"/>
        <w:rPr>
          <w:lang w:eastAsia="en-US"/>
        </w:rPr>
      </w:pPr>
      <w:r w:rsidRPr="00732F73">
        <w:rPr>
          <w:lang w:eastAsia="en-US"/>
        </w:rPr>
        <w:t xml:space="preserve">U okviru ovih prihoda u 2019. godini bilo je planirano ostvariti </w:t>
      </w:r>
      <w:r w:rsidRPr="00732F73">
        <w:rPr>
          <w:b/>
          <w:lang w:eastAsia="en-US"/>
        </w:rPr>
        <w:t>prihode</w:t>
      </w:r>
      <w:r w:rsidR="00302717" w:rsidRPr="00732F73">
        <w:rPr>
          <w:b/>
          <w:lang w:eastAsia="en-US"/>
        </w:rPr>
        <w:t xml:space="preserve"> od prodaje</w:t>
      </w:r>
      <w:r w:rsidRPr="00732F73">
        <w:rPr>
          <w:b/>
          <w:lang w:eastAsia="en-US"/>
        </w:rPr>
        <w:t xml:space="preserve"> proizvoda i </w:t>
      </w:r>
      <w:r w:rsidR="00302717" w:rsidRPr="00732F73">
        <w:rPr>
          <w:b/>
          <w:lang w:eastAsia="en-US"/>
        </w:rPr>
        <w:t xml:space="preserve"> robe</w:t>
      </w:r>
      <w:r w:rsidRPr="00732F73">
        <w:rPr>
          <w:b/>
          <w:lang w:eastAsia="en-US"/>
        </w:rPr>
        <w:t xml:space="preserve"> te pruženih usluga</w:t>
      </w:r>
      <w:r w:rsidRPr="00732F73">
        <w:rPr>
          <w:lang w:eastAsia="en-US"/>
        </w:rPr>
        <w:t xml:space="preserve"> u iznosu od 20.000.000 kn, a koji</w:t>
      </w:r>
      <w:r w:rsidR="00302717" w:rsidRPr="00732F73">
        <w:rPr>
          <w:lang w:eastAsia="en-US"/>
        </w:rPr>
        <w:t xml:space="preserve"> </w:t>
      </w:r>
      <w:r w:rsidRPr="00732F73">
        <w:rPr>
          <w:lang w:eastAsia="en-US"/>
        </w:rPr>
        <w:t>se odnose</w:t>
      </w:r>
      <w:r w:rsidR="00302717" w:rsidRPr="00732F73">
        <w:rPr>
          <w:lang w:eastAsia="en-US"/>
        </w:rPr>
        <w:t xml:space="preserve"> na planiranu prodaju </w:t>
      </w:r>
      <w:r w:rsidR="0008054C" w:rsidRPr="00732F73">
        <w:rPr>
          <w:lang w:eastAsia="en-US"/>
        </w:rPr>
        <w:t>pijeska</w:t>
      </w:r>
      <w:r w:rsidR="00302717" w:rsidRPr="00732F73">
        <w:rPr>
          <w:lang w:eastAsia="en-US"/>
        </w:rPr>
        <w:t xml:space="preserve"> HAC-u (Hrvatskim autoce</w:t>
      </w:r>
      <w:r w:rsidR="0008054C" w:rsidRPr="00732F73">
        <w:rPr>
          <w:lang w:eastAsia="en-US"/>
        </w:rPr>
        <w:t>stama d.o.o.) za gradnju cesta</w:t>
      </w:r>
      <w:r w:rsidR="00302717" w:rsidRPr="00732F73">
        <w:rPr>
          <w:lang w:eastAsia="en-US"/>
        </w:rPr>
        <w:t xml:space="preserve"> u 20</w:t>
      </w:r>
      <w:r w:rsidRPr="00732F73">
        <w:rPr>
          <w:lang w:eastAsia="en-US"/>
        </w:rPr>
        <w:t>19. godini. Isti nisu ostvareni</w:t>
      </w:r>
      <w:r w:rsidR="001A2EE4" w:rsidRPr="00732F73">
        <w:rPr>
          <w:lang w:eastAsia="en-US"/>
        </w:rPr>
        <w:t xml:space="preserve"> iz razloga </w:t>
      </w:r>
      <w:r w:rsidR="0008054C" w:rsidRPr="00732F73">
        <w:rPr>
          <w:lang w:eastAsia="en-US"/>
        </w:rPr>
        <w:t xml:space="preserve">poništenog natječaja Hrvatskih autocesta za gradnju dionice autoceste koridora </w:t>
      </w:r>
      <w:proofErr w:type="spellStart"/>
      <w:r w:rsidR="0008054C" w:rsidRPr="00732F73">
        <w:rPr>
          <w:lang w:eastAsia="en-US"/>
        </w:rPr>
        <w:t>Vc</w:t>
      </w:r>
      <w:proofErr w:type="spellEnd"/>
      <w:r w:rsidR="0008054C" w:rsidRPr="00732F73">
        <w:rPr>
          <w:lang w:eastAsia="en-US"/>
        </w:rPr>
        <w:t xml:space="preserve"> (dionica Osijek ‐ Beli Manastir) koje su za potrebe gradnje iste u skladu s odredbama Zakona o vodama trebale u 2019. godini otkupiti od Hrvatskih voda izvađeni nanos (pijesak) iz rijeke Drave i Dunava.</w:t>
      </w:r>
    </w:p>
    <w:p w:rsidR="001311F5" w:rsidRPr="00732F73" w:rsidRDefault="006A06E8" w:rsidP="00732F73">
      <w:pPr>
        <w:autoSpaceDE w:val="0"/>
        <w:autoSpaceDN w:val="0"/>
        <w:adjustRightInd w:val="0"/>
        <w:jc w:val="both"/>
        <w:rPr>
          <w:lang w:eastAsia="en-US"/>
        </w:rPr>
      </w:pPr>
      <w:r w:rsidRPr="00732F73">
        <w:rPr>
          <w:b/>
          <w:lang w:eastAsia="en-US"/>
        </w:rPr>
        <w:t>Donacije od pravnih i fizičkih osoba izvan općeg proračuna</w:t>
      </w:r>
      <w:r w:rsidRPr="00732F73">
        <w:rPr>
          <w:lang w:eastAsia="en-US"/>
        </w:rPr>
        <w:t xml:space="preserve"> ostvarene su iznosom od 43.368.499 kn s indeksom 99 u odnosu na plan.</w:t>
      </w:r>
    </w:p>
    <w:p w:rsidR="001A2EE4" w:rsidRPr="00732F73" w:rsidRDefault="001A2EE4" w:rsidP="00732F73">
      <w:pPr>
        <w:autoSpaceDE w:val="0"/>
        <w:autoSpaceDN w:val="0"/>
        <w:adjustRightInd w:val="0"/>
        <w:jc w:val="both"/>
        <w:rPr>
          <w:lang w:eastAsia="en-US"/>
        </w:rPr>
      </w:pPr>
      <w:r w:rsidRPr="00732F73">
        <w:rPr>
          <w:lang w:eastAsia="en-US"/>
        </w:rPr>
        <w:t>Kapitalne donacije ostvarene su u ukupnom iznosu od 36.894.488 kn, s indeksom 101 u odnosu na plan, za 14.</w:t>
      </w:r>
      <w:r w:rsidR="002A327E" w:rsidRPr="00732F73">
        <w:rPr>
          <w:lang w:eastAsia="en-US"/>
        </w:rPr>
        <w:t>123.823</w:t>
      </w:r>
      <w:r w:rsidRPr="00732F73">
        <w:rPr>
          <w:lang w:eastAsia="en-US"/>
        </w:rPr>
        <w:t xml:space="preserve"> kn više u odnosu na izvršenje 2018. godine, odnosno 62% više, a odnose se na sredstva učešća javih isporučitelja vodnih usluga za projekte sufinancirane bespovratnim sredstvima EU. </w:t>
      </w:r>
    </w:p>
    <w:p w:rsidR="000434DA" w:rsidRPr="00732F73" w:rsidRDefault="00F0272A" w:rsidP="00732F73">
      <w:pPr>
        <w:autoSpaceDE w:val="0"/>
        <w:autoSpaceDN w:val="0"/>
        <w:adjustRightInd w:val="0"/>
        <w:jc w:val="both"/>
        <w:rPr>
          <w:lang w:eastAsia="en-US"/>
        </w:rPr>
      </w:pPr>
      <w:r w:rsidRPr="00732F73">
        <w:rPr>
          <w:lang w:eastAsia="en-US"/>
        </w:rPr>
        <w:t xml:space="preserve">Tekuće donacije </w:t>
      </w:r>
      <w:r w:rsidR="006A06E8" w:rsidRPr="00732F73">
        <w:rPr>
          <w:lang w:eastAsia="en-US"/>
        </w:rPr>
        <w:t>ostvarene su</w:t>
      </w:r>
      <w:r w:rsidR="009A1250" w:rsidRPr="00732F73">
        <w:rPr>
          <w:lang w:eastAsia="en-US"/>
        </w:rPr>
        <w:t xml:space="preserve"> u ukupnom iznosu</w:t>
      </w:r>
      <w:r w:rsidR="006A06E8" w:rsidRPr="00732F73">
        <w:rPr>
          <w:lang w:eastAsia="en-US"/>
        </w:rPr>
        <w:t xml:space="preserve"> od</w:t>
      </w:r>
      <w:r w:rsidR="009A1250" w:rsidRPr="00732F73">
        <w:rPr>
          <w:lang w:eastAsia="en-US"/>
        </w:rPr>
        <w:t xml:space="preserve"> 6.474.011 kn</w:t>
      </w:r>
      <w:r w:rsidR="0096166E" w:rsidRPr="00732F73">
        <w:rPr>
          <w:lang w:eastAsia="en-US"/>
        </w:rPr>
        <w:t>, s indeksom 93</w:t>
      </w:r>
      <w:r w:rsidR="00105E69" w:rsidRPr="00732F73">
        <w:rPr>
          <w:lang w:eastAsia="en-US"/>
        </w:rPr>
        <w:t xml:space="preserve"> u odnosu na plan</w:t>
      </w:r>
      <w:r w:rsidR="0096166E" w:rsidRPr="00732F73">
        <w:rPr>
          <w:lang w:eastAsia="en-US"/>
        </w:rPr>
        <w:t>, a</w:t>
      </w:r>
      <w:r w:rsidR="009A1250" w:rsidRPr="00732F73">
        <w:rPr>
          <w:lang w:eastAsia="en-US"/>
        </w:rPr>
        <w:t xml:space="preserve"> </w:t>
      </w:r>
      <w:r w:rsidR="003E0F48" w:rsidRPr="00732F73">
        <w:rPr>
          <w:lang w:eastAsia="en-US"/>
        </w:rPr>
        <w:t>odnose se na</w:t>
      </w:r>
      <w:r w:rsidRPr="00732F73">
        <w:rPr>
          <w:lang w:eastAsia="en-US"/>
        </w:rPr>
        <w:t xml:space="preserve"> </w:t>
      </w:r>
      <w:r w:rsidR="00C442F9" w:rsidRPr="00732F73">
        <w:rPr>
          <w:lang w:eastAsia="en-US"/>
        </w:rPr>
        <w:t>refundacije</w:t>
      </w:r>
      <w:r w:rsidRPr="00732F73">
        <w:rPr>
          <w:lang w:eastAsia="en-US"/>
        </w:rPr>
        <w:t xml:space="preserve"> HEP-a za program zaštite od štetnog djelovanja voda </w:t>
      </w:r>
      <w:r w:rsidR="009A1250" w:rsidRPr="00732F73">
        <w:rPr>
          <w:lang w:eastAsia="en-US"/>
        </w:rPr>
        <w:t xml:space="preserve">u iznosu </w:t>
      </w:r>
      <w:r w:rsidRPr="00732F73">
        <w:rPr>
          <w:lang w:eastAsia="en-US"/>
        </w:rPr>
        <w:t>6.</w:t>
      </w:r>
      <w:r w:rsidR="003D54B2" w:rsidRPr="00732F73">
        <w:rPr>
          <w:lang w:eastAsia="en-US"/>
        </w:rPr>
        <w:t>005.427</w:t>
      </w:r>
      <w:r w:rsidRPr="00732F73">
        <w:rPr>
          <w:lang w:eastAsia="en-US"/>
        </w:rPr>
        <w:t xml:space="preserve"> </w:t>
      </w:r>
      <w:r w:rsidR="00C442F9" w:rsidRPr="00732F73">
        <w:rPr>
          <w:lang w:eastAsia="en-US"/>
        </w:rPr>
        <w:t>kn</w:t>
      </w:r>
      <w:r w:rsidR="009A1250" w:rsidRPr="00732F73">
        <w:rPr>
          <w:lang w:eastAsia="en-US"/>
        </w:rPr>
        <w:t xml:space="preserve"> i Odvodnje Poreč d.o.o. za program UPOV Poreč u iznosu 468.584 kn</w:t>
      </w:r>
      <w:r w:rsidR="00C442F9" w:rsidRPr="00732F73">
        <w:rPr>
          <w:lang w:eastAsia="en-US"/>
        </w:rPr>
        <w:t xml:space="preserve">. </w:t>
      </w:r>
    </w:p>
    <w:p w:rsidR="006A06E8" w:rsidRPr="00732F73" w:rsidRDefault="006A06E8" w:rsidP="00732F73">
      <w:pPr>
        <w:autoSpaceDE w:val="0"/>
        <w:autoSpaceDN w:val="0"/>
        <w:adjustRightInd w:val="0"/>
        <w:jc w:val="both"/>
        <w:rPr>
          <w:lang w:eastAsia="en-US"/>
        </w:rPr>
      </w:pPr>
    </w:p>
    <w:p w:rsidR="006A06E8" w:rsidRPr="00732F73" w:rsidRDefault="006A06E8" w:rsidP="00732F73">
      <w:pPr>
        <w:autoSpaceDE w:val="0"/>
        <w:autoSpaceDN w:val="0"/>
        <w:adjustRightInd w:val="0"/>
        <w:jc w:val="both"/>
        <w:rPr>
          <w:lang w:eastAsia="en-US"/>
        </w:rPr>
      </w:pPr>
      <w:r w:rsidRPr="00732F73">
        <w:rPr>
          <w:b/>
          <w:lang w:eastAsia="en-US"/>
        </w:rPr>
        <w:t>Prihodi od prodaje nefinancijske imovine ostvareni su iznosom</w:t>
      </w:r>
      <w:r w:rsidRPr="00732F73">
        <w:rPr>
          <w:lang w:eastAsia="en-US"/>
        </w:rPr>
        <w:t xml:space="preserve"> od 446.328 kn, 27% više u odnosu na plan a sastoje se od prihoda od prodaje građevinskih objekata – stambeni objekti</w:t>
      </w:r>
      <w:r w:rsidR="001B7937" w:rsidRPr="00732F73">
        <w:rPr>
          <w:lang w:eastAsia="en-US"/>
        </w:rPr>
        <w:t xml:space="preserve"> ostvarenih iznosom od 308.728 kn i prihoda od prodaje rashodovanih automobila u iznosu od 137.600 kn.</w:t>
      </w:r>
    </w:p>
    <w:p w:rsidR="00E2322E" w:rsidRPr="00732F73" w:rsidRDefault="00E2322E" w:rsidP="00732F73">
      <w:pPr>
        <w:autoSpaceDE w:val="0"/>
        <w:autoSpaceDN w:val="0"/>
        <w:adjustRightInd w:val="0"/>
        <w:jc w:val="both"/>
        <w:rPr>
          <w:lang w:eastAsia="en-US"/>
        </w:rPr>
      </w:pPr>
    </w:p>
    <w:p w:rsidR="00173D79" w:rsidRPr="00732F73" w:rsidRDefault="00726A41" w:rsidP="00732F73">
      <w:pPr>
        <w:autoSpaceDE w:val="0"/>
        <w:autoSpaceDN w:val="0"/>
        <w:adjustRightInd w:val="0"/>
        <w:jc w:val="both"/>
        <w:rPr>
          <w:lang w:eastAsia="en-US"/>
        </w:rPr>
      </w:pPr>
      <w:r w:rsidRPr="00732F73">
        <w:rPr>
          <w:lang w:eastAsia="en-US"/>
        </w:rPr>
        <w:lastRenderedPageBreak/>
        <w:t xml:space="preserve">U okviru ukupnih rashoda, </w:t>
      </w:r>
      <w:r w:rsidRPr="00732F73">
        <w:rPr>
          <w:b/>
          <w:lang w:eastAsia="en-US"/>
        </w:rPr>
        <w:t>rashodi</w:t>
      </w:r>
      <w:r w:rsidR="008775E7" w:rsidRPr="00732F73">
        <w:rPr>
          <w:b/>
          <w:lang w:eastAsia="en-US"/>
        </w:rPr>
        <w:t xml:space="preserve"> za administraciju i</w:t>
      </w:r>
      <w:r w:rsidR="00F83626" w:rsidRPr="00732F73">
        <w:rPr>
          <w:b/>
          <w:lang w:eastAsia="en-US"/>
        </w:rPr>
        <w:t xml:space="preserve"> upravljanje</w:t>
      </w:r>
      <w:r w:rsidR="00F83626" w:rsidRPr="00732F73">
        <w:rPr>
          <w:lang w:eastAsia="en-US"/>
        </w:rPr>
        <w:t xml:space="preserve"> ostvareni su sa </w:t>
      </w:r>
      <w:r w:rsidR="00AD0558" w:rsidRPr="00732F73">
        <w:rPr>
          <w:lang w:eastAsia="en-US"/>
        </w:rPr>
        <w:t>231</w:t>
      </w:r>
      <w:r w:rsidR="000F45BA" w:rsidRPr="00732F73">
        <w:rPr>
          <w:lang w:eastAsia="en-US"/>
        </w:rPr>
        <w:t>.</w:t>
      </w:r>
      <w:r w:rsidR="00AD0558" w:rsidRPr="00732F73">
        <w:rPr>
          <w:lang w:eastAsia="en-US"/>
        </w:rPr>
        <w:t>941</w:t>
      </w:r>
      <w:r w:rsidR="000F45BA" w:rsidRPr="00732F73">
        <w:rPr>
          <w:lang w:eastAsia="en-US"/>
        </w:rPr>
        <w:t>.</w:t>
      </w:r>
      <w:r w:rsidR="00AD0558" w:rsidRPr="00732F73">
        <w:rPr>
          <w:lang w:eastAsia="en-US"/>
        </w:rPr>
        <w:t>647</w:t>
      </w:r>
      <w:r w:rsidR="00F83626" w:rsidRPr="00732F73">
        <w:rPr>
          <w:lang w:eastAsia="en-US"/>
        </w:rPr>
        <w:t xml:space="preserve"> kn sa indeksom </w:t>
      </w:r>
      <w:r w:rsidR="00AD0558" w:rsidRPr="00732F73">
        <w:rPr>
          <w:lang w:eastAsia="en-US"/>
        </w:rPr>
        <w:t>96</w:t>
      </w:r>
      <w:r w:rsidR="006C2E41" w:rsidRPr="00732F73">
        <w:rPr>
          <w:lang w:eastAsia="en-US"/>
        </w:rPr>
        <w:t xml:space="preserve"> u odnosu na plan, od čega se na rashode za zaposlene odnosi iznos</w:t>
      </w:r>
      <w:r w:rsidR="009E394D" w:rsidRPr="00732F73">
        <w:rPr>
          <w:lang w:eastAsia="en-US"/>
        </w:rPr>
        <w:t xml:space="preserve"> </w:t>
      </w:r>
      <w:r w:rsidR="006C2E41" w:rsidRPr="00732F73">
        <w:rPr>
          <w:lang w:eastAsia="en-US"/>
        </w:rPr>
        <w:t xml:space="preserve">od </w:t>
      </w:r>
      <w:r w:rsidR="00AD0558" w:rsidRPr="00732F73">
        <w:rPr>
          <w:lang w:eastAsia="en-US"/>
        </w:rPr>
        <w:t>170</w:t>
      </w:r>
      <w:r w:rsidR="000F45BA" w:rsidRPr="00732F73">
        <w:rPr>
          <w:lang w:eastAsia="en-US"/>
        </w:rPr>
        <w:t>.</w:t>
      </w:r>
      <w:r w:rsidR="00AD0558" w:rsidRPr="00732F73">
        <w:rPr>
          <w:lang w:eastAsia="en-US"/>
        </w:rPr>
        <w:t>835</w:t>
      </w:r>
      <w:r w:rsidR="000F45BA" w:rsidRPr="00732F73">
        <w:rPr>
          <w:lang w:eastAsia="en-US"/>
        </w:rPr>
        <w:t>.</w:t>
      </w:r>
      <w:r w:rsidR="00AD0558" w:rsidRPr="00732F73">
        <w:rPr>
          <w:lang w:eastAsia="en-US"/>
        </w:rPr>
        <w:t>322</w:t>
      </w:r>
      <w:r w:rsidR="00173D79" w:rsidRPr="00732F73">
        <w:rPr>
          <w:lang w:eastAsia="en-US"/>
        </w:rPr>
        <w:t xml:space="preserve"> kn s indeksom</w:t>
      </w:r>
      <w:r w:rsidR="006C2E41" w:rsidRPr="00732F73">
        <w:rPr>
          <w:lang w:eastAsia="en-US"/>
        </w:rPr>
        <w:t xml:space="preserve"> ostvarenja</w:t>
      </w:r>
      <w:r w:rsidR="00173D79" w:rsidRPr="00732F73">
        <w:rPr>
          <w:lang w:eastAsia="en-US"/>
        </w:rPr>
        <w:t xml:space="preserve"> </w:t>
      </w:r>
      <w:r w:rsidR="00AD0558" w:rsidRPr="00732F73">
        <w:rPr>
          <w:lang w:eastAsia="en-US"/>
        </w:rPr>
        <w:t>99</w:t>
      </w:r>
      <w:r w:rsidR="00173D79" w:rsidRPr="00732F73">
        <w:rPr>
          <w:lang w:eastAsia="en-US"/>
        </w:rPr>
        <w:t xml:space="preserve"> u odnosu na plan. </w:t>
      </w:r>
      <w:r w:rsidR="008A599A" w:rsidRPr="00732F73">
        <w:rPr>
          <w:lang w:eastAsia="en-US"/>
        </w:rPr>
        <w:t xml:space="preserve">U 2019. godini ovi rashodi veći su za 13.168.808 kn (8%) u odnosu na 2018. godinu. Razlog povećanju je pripajanje Hrvatskim vodama tvrtke kćeri – Hidrotehničkih objekata d.o.o. 18.10.2019. godine, sukladno Zaključku Vlade RH, kojim pripajanjem je povećan broj zaposlenih za 254 radnika. </w:t>
      </w:r>
      <w:r w:rsidR="00173D79" w:rsidRPr="00732F73">
        <w:rPr>
          <w:lang w:eastAsia="en-US"/>
        </w:rPr>
        <w:t xml:space="preserve">Materijalni rashodi su ostvareni u iznosu </w:t>
      </w:r>
      <w:r w:rsidR="00AD0558" w:rsidRPr="00732F73">
        <w:rPr>
          <w:lang w:eastAsia="en-US"/>
        </w:rPr>
        <w:t>60</w:t>
      </w:r>
      <w:r w:rsidR="000F45BA" w:rsidRPr="00732F73">
        <w:rPr>
          <w:lang w:eastAsia="en-US"/>
        </w:rPr>
        <w:t>.</w:t>
      </w:r>
      <w:r w:rsidR="00AD0558" w:rsidRPr="00732F73">
        <w:rPr>
          <w:lang w:eastAsia="en-US"/>
        </w:rPr>
        <w:t>302</w:t>
      </w:r>
      <w:r w:rsidR="000F45BA" w:rsidRPr="00732F73">
        <w:rPr>
          <w:lang w:eastAsia="en-US"/>
        </w:rPr>
        <w:t>.</w:t>
      </w:r>
      <w:r w:rsidR="00AD0558" w:rsidRPr="00732F73">
        <w:rPr>
          <w:lang w:eastAsia="en-US"/>
        </w:rPr>
        <w:t>511</w:t>
      </w:r>
      <w:r w:rsidR="00173D79" w:rsidRPr="00732F73">
        <w:rPr>
          <w:lang w:eastAsia="en-US"/>
        </w:rPr>
        <w:t xml:space="preserve"> kn.</w:t>
      </w:r>
    </w:p>
    <w:p w:rsidR="00B661C8" w:rsidRPr="00732F73" w:rsidRDefault="008775E7" w:rsidP="00732F73">
      <w:pPr>
        <w:autoSpaceDE w:val="0"/>
        <w:autoSpaceDN w:val="0"/>
        <w:adjustRightInd w:val="0"/>
        <w:jc w:val="both"/>
        <w:rPr>
          <w:lang w:eastAsia="en-US"/>
        </w:rPr>
      </w:pPr>
      <w:r w:rsidRPr="00732F73">
        <w:rPr>
          <w:b/>
          <w:lang w:eastAsia="en-US"/>
        </w:rPr>
        <w:t>Rashodi</w:t>
      </w:r>
      <w:r w:rsidR="002A400B" w:rsidRPr="00732F73">
        <w:rPr>
          <w:b/>
          <w:lang w:eastAsia="en-US"/>
        </w:rPr>
        <w:t xml:space="preserve"> za informatizaciju, opremanje </w:t>
      </w:r>
      <w:r w:rsidRPr="00732F73">
        <w:rPr>
          <w:b/>
          <w:lang w:eastAsia="en-US"/>
        </w:rPr>
        <w:t>i poslovne zgrade</w:t>
      </w:r>
      <w:r w:rsidRPr="00732F73">
        <w:rPr>
          <w:lang w:eastAsia="en-US"/>
        </w:rPr>
        <w:t xml:space="preserve"> ostvareni</w:t>
      </w:r>
      <w:r w:rsidR="00F83626" w:rsidRPr="00732F73">
        <w:rPr>
          <w:lang w:eastAsia="en-US"/>
        </w:rPr>
        <w:t xml:space="preserve"> su sa </w:t>
      </w:r>
      <w:r w:rsidR="00AD0558" w:rsidRPr="00732F73">
        <w:rPr>
          <w:lang w:eastAsia="en-US"/>
        </w:rPr>
        <w:t>14</w:t>
      </w:r>
      <w:r w:rsidR="003F28B0" w:rsidRPr="00732F73">
        <w:rPr>
          <w:lang w:eastAsia="en-US"/>
        </w:rPr>
        <w:t>.</w:t>
      </w:r>
      <w:r w:rsidR="00AD0558" w:rsidRPr="00732F73">
        <w:rPr>
          <w:lang w:eastAsia="en-US"/>
        </w:rPr>
        <w:t>032</w:t>
      </w:r>
      <w:r w:rsidR="003F28B0" w:rsidRPr="00732F73">
        <w:rPr>
          <w:lang w:eastAsia="en-US"/>
        </w:rPr>
        <w:t>.2</w:t>
      </w:r>
      <w:r w:rsidR="00AD0558" w:rsidRPr="00732F73">
        <w:rPr>
          <w:lang w:eastAsia="en-US"/>
        </w:rPr>
        <w:t>39</w:t>
      </w:r>
      <w:r w:rsidR="00F83626" w:rsidRPr="00732F73">
        <w:rPr>
          <w:lang w:eastAsia="en-US"/>
        </w:rPr>
        <w:t xml:space="preserve"> kn</w:t>
      </w:r>
      <w:r w:rsidRPr="00732F73">
        <w:rPr>
          <w:lang w:eastAsia="en-US"/>
        </w:rPr>
        <w:t>.</w:t>
      </w:r>
    </w:p>
    <w:p w:rsidR="00B661C8" w:rsidRPr="00732F73" w:rsidRDefault="00B661C8" w:rsidP="00732F73">
      <w:pPr>
        <w:autoSpaceDE w:val="0"/>
        <w:autoSpaceDN w:val="0"/>
        <w:adjustRightInd w:val="0"/>
        <w:jc w:val="both"/>
        <w:rPr>
          <w:lang w:eastAsia="en-US"/>
        </w:rPr>
      </w:pPr>
    </w:p>
    <w:p w:rsidR="005774EE" w:rsidRPr="00732F73" w:rsidRDefault="005774EE" w:rsidP="00732F73">
      <w:pPr>
        <w:jc w:val="both"/>
        <w:rPr>
          <w:lang w:eastAsia="en-US"/>
        </w:rPr>
      </w:pPr>
      <w:r w:rsidRPr="00732F73">
        <w:rPr>
          <w:lang w:eastAsia="en-US"/>
        </w:rPr>
        <w:t xml:space="preserve">U okviru redovne djelatnosti </w:t>
      </w:r>
      <w:r w:rsidR="00AD60CD" w:rsidRPr="00732F73">
        <w:rPr>
          <w:lang w:eastAsia="en-US"/>
        </w:rPr>
        <w:t>(</w:t>
      </w:r>
      <w:r w:rsidR="00DB11B0" w:rsidRPr="00732F73">
        <w:rPr>
          <w:b/>
          <w:lang w:eastAsia="en-US"/>
        </w:rPr>
        <w:t xml:space="preserve">program </w:t>
      </w:r>
      <w:r w:rsidR="001E6C24" w:rsidRPr="00732F73">
        <w:rPr>
          <w:b/>
          <w:lang w:eastAsia="en-US"/>
        </w:rPr>
        <w:t>103 – tekuće tehničko i gospodarsko održavanje vodotoka i vodnih građevina</w:t>
      </w:r>
      <w:r w:rsidR="00AD60CD" w:rsidRPr="00732F73">
        <w:rPr>
          <w:lang w:eastAsia="en-US"/>
        </w:rPr>
        <w:t xml:space="preserve">) </w:t>
      </w:r>
      <w:r w:rsidR="003F28B0" w:rsidRPr="00732F73">
        <w:rPr>
          <w:lang w:eastAsia="en-US"/>
        </w:rPr>
        <w:t xml:space="preserve">realizirano je ukupno </w:t>
      </w:r>
      <w:r w:rsidR="00BC6DB6" w:rsidRPr="00732F73">
        <w:rPr>
          <w:lang w:eastAsia="en-US"/>
        </w:rPr>
        <w:t>929</w:t>
      </w:r>
      <w:r w:rsidR="003F28B0" w:rsidRPr="00732F73">
        <w:rPr>
          <w:lang w:eastAsia="en-US"/>
        </w:rPr>
        <w:t>.</w:t>
      </w:r>
      <w:r w:rsidR="00BC6DB6" w:rsidRPr="00732F73">
        <w:rPr>
          <w:lang w:eastAsia="en-US"/>
        </w:rPr>
        <w:t>614</w:t>
      </w:r>
      <w:r w:rsidR="003F28B0" w:rsidRPr="00732F73">
        <w:rPr>
          <w:lang w:eastAsia="en-US"/>
        </w:rPr>
        <w:t>.</w:t>
      </w:r>
      <w:r w:rsidR="00BC6DB6" w:rsidRPr="00732F73">
        <w:rPr>
          <w:lang w:eastAsia="en-US"/>
        </w:rPr>
        <w:t>554</w:t>
      </w:r>
      <w:r w:rsidR="003F28B0" w:rsidRPr="00732F73">
        <w:rPr>
          <w:lang w:eastAsia="en-US"/>
        </w:rPr>
        <w:t xml:space="preserve"> kn</w:t>
      </w:r>
      <w:r w:rsidR="00F53EA4" w:rsidRPr="00732F73">
        <w:rPr>
          <w:lang w:eastAsia="en-US"/>
        </w:rPr>
        <w:t>,</w:t>
      </w:r>
      <w:r w:rsidR="003F28B0" w:rsidRPr="00732F73">
        <w:rPr>
          <w:lang w:eastAsia="en-US"/>
        </w:rPr>
        <w:t xml:space="preserve"> odnosno </w:t>
      </w:r>
      <w:r w:rsidR="00BC6DB6" w:rsidRPr="00732F73">
        <w:rPr>
          <w:lang w:eastAsia="en-US"/>
        </w:rPr>
        <w:t>99</w:t>
      </w:r>
      <w:r w:rsidR="003F28B0" w:rsidRPr="00732F73">
        <w:rPr>
          <w:lang w:eastAsia="en-US"/>
        </w:rPr>
        <w:t>% u odnosu na plan. N</w:t>
      </w:r>
      <w:r w:rsidRPr="00732F73">
        <w:rPr>
          <w:lang w:eastAsia="en-US"/>
        </w:rPr>
        <w:t>ajveći iznosi realizirani su u programu zaštite od štetnog djelova</w:t>
      </w:r>
      <w:r w:rsidR="00AC3ECD" w:rsidRPr="00732F73">
        <w:rPr>
          <w:lang w:eastAsia="en-US"/>
        </w:rPr>
        <w:t xml:space="preserve">nja voda u ukupnom iznosu od </w:t>
      </w:r>
      <w:r w:rsidR="00BC6DB6" w:rsidRPr="00732F73">
        <w:rPr>
          <w:lang w:eastAsia="en-US"/>
        </w:rPr>
        <w:t>717</w:t>
      </w:r>
      <w:r w:rsidR="00F53EA4" w:rsidRPr="00732F73">
        <w:rPr>
          <w:lang w:eastAsia="en-US"/>
        </w:rPr>
        <w:t>.</w:t>
      </w:r>
      <w:r w:rsidR="00BC6DB6" w:rsidRPr="00732F73">
        <w:rPr>
          <w:lang w:eastAsia="en-US"/>
        </w:rPr>
        <w:t>192</w:t>
      </w:r>
      <w:r w:rsidR="00F53EA4" w:rsidRPr="00732F73">
        <w:rPr>
          <w:lang w:eastAsia="en-US"/>
        </w:rPr>
        <w:t>.</w:t>
      </w:r>
      <w:r w:rsidR="00BC6DB6" w:rsidRPr="00732F73">
        <w:rPr>
          <w:lang w:eastAsia="en-US"/>
        </w:rPr>
        <w:t>004</w:t>
      </w:r>
      <w:r w:rsidR="00F53EA4" w:rsidRPr="00732F73">
        <w:rPr>
          <w:lang w:eastAsia="en-US"/>
        </w:rPr>
        <w:t xml:space="preserve"> </w:t>
      </w:r>
      <w:r w:rsidRPr="00732F73">
        <w:rPr>
          <w:lang w:eastAsia="en-US"/>
        </w:rPr>
        <w:t xml:space="preserve">kn kroz </w:t>
      </w:r>
      <w:r w:rsidR="005A24EC" w:rsidRPr="00732F73">
        <w:rPr>
          <w:lang w:eastAsia="en-US"/>
        </w:rPr>
        <w:t xml:space="preserve">rashode </w:t>
      </w:r>
      <w:r w:rsidRPr="00732F73">
        <w:rPr>
          <w:lang w:eastAsia="en-US"/>
        </w:rPr>
        <w:t xml:space="preserve"> za redovno održavanje i obnavljanje vodotoka, vodnih građevina i vodnoga dobra (</w:t>
      </w:r>
      <w:r w:rsidR="00BC6DB6" w:rsidRPr="00732F73">
        <w:rPr>
          <w:lang w:eastAsia="en-US"/>
        </w:rPr>
        <w:t>649</w:t>
      </w:r>
      <w:r w:rsidR="00F53EA4" w:rsidRPr="00732F73">
        <w:rPr>
          <w:lang w:eastAsia="en-US"/>
        </w:rPr>
        <w:t>.1</w:t>
      </w:r>
      <w:r w:rsidR="00BC6DB6" w:rsidRPr="00732F73">
        <w:rPr>
          <w:lang w:eastAsia="en-US"/>
        </w:rPr>
        <w:t>93</w:t>
      </w:r>
      <w:r w:rsidR="00F53EA4" w:rsidRPr="00732F73">
        <w:rPr>
          <w:lang w:eastAsia="en-US"/>
        </w:rPr>
        <w:t>.</w:t>
      </w:r>
      <w:r w:rsidR="00BC6DB6" w:rsidRPr="00732F73">
        <w:rPr>
          <w:lang w:eastAsia="en-US"/>
        </w:rPr>
        <w:t>156</w:t>
      </w:r>
      <w:r w:rsidR="00A046FF" w:rsidRPr="00732F73">
        <w:rPr>
          <w:lang w:eastAsia="en-US"/>
        </w:rPr>
        <w:t xml:space="preserve"> </w:t>
      </w:r>
      <w:r w:rsidRPr="00732F73">
        <w:rPr>
          <w:lang w:eastAsia="en-US"/>
        </w:rPr>
        <w:t>kn)</w:t>
      </w:r>
      <w:r w:rsidR="00343E48" w:rsidRPr="00732F73">
        <w:rPr>
          <w:lang w:eastAsia="en-US"/>
        </w:rPr>
        <w:t>, te</w:t>
      </w:r>
      <w:r w:rsidRPr="00732F73">
        <w:rPr>
          <w:lang w:eastAsia="en-US"/>
        </w:rPr>
        <w:t xml:space="preserve"> o</w:t>
      </w:r>
      <w:r w:rsidR="00343E48" w:rsidRPr="00732F73">
        <w:rPr>
          <w:lang w:eastAsia="en-US"/>
        </w:rPr>
        <w:t>državanje i obnavljanje detaljn</w:t>
      </w:r>
      <w:r w:rsidRPr="00732F73">
        <w:rPr>
          <w:lang w:eastAsia="en-US"/>
        </w:rPr>
        <w:t xml:space="preserve">ih melioracijskih </w:t>
      </w:r>
      <w:r w:rsidR="00B035CF" w:rsidRPr="00732F73">
        <w:rPr>
          <w:lang w:eastAsia="en-US"/>
        </w:rPr>
        <w:t>građevina</w:t>
      </w:r>
      <w:r w:rsidR="00343E48" w:rsidRPr="00732F73">
        <w:rPr>
          <w:lang w:eastAsia="en-US"/>
        </w:rPr>
        <w:t xml:space="preserve"> za odvodnju i navodnjavanje</w:t>
      </w:r>
      <w:r w:rsidR="00B035CF" w:rsidRPr="00732F73">
        <w:rPr>
          <w:lang w:eastAsia="en-US"/>
        </w:rPr>
        <w:t xml:space="preserve"> (</w:t>
      </w:r>
      <w:r w:rsidR="00BC6DB6" w:rsidRPr="00732F73">
        <w:rPr>
          <w:lang w:eastAsia="en-US"/>
        </w:rPr>
        <w:t>67</w:t>
      </w:r>
      <w:r w:rsidR="00F53EA4" w:rsidRPr="00732F73">
        <w:rPr>
          <w:lang w:eastAsia="en-US"/>
        </w:rPr>
        <w:t>.</w:t>
      </w:r>
      <w:r w:rsidR="00BC6DB6" w:rsidRPr="00732F73">
        <w:rPr>
          <w:lang w:eastAsia="en-US"/>
        </w:rPr>
        <w:t>998</w:t>
      </w:r>
      <w:r w:rsidR="00F53EA4" w:rsidRPr="00732F73">
        <w:rPr>
          <w:lang w:eastAsia="en-US"/>
        </w:rPr>
        <w:t>.</w:t>
      </w:r>
      <w:r w:rsidR="00BC6DB6" w:rsidRPr="00732F73">
        <w:rPr>
          <w:lang w:eastAsia="en-US"/>
        </w:rPr>
        <w:t>848</w:t>
      </w:r>
      <w:r w:rsidR="00A046FF" w:rsidRPr="00732F73">
        <w:rPr>
          <w:lang w:eastAsia="en-US"/>
        </w:rPr>
        <w:t xml:space="preserve"> </w:t>
      </w:r>
      <w:r w:rsidR="001F236B" w:rsidRPr="00732F73">
        <w:rPr>
          <w:lang w:eastAsia="en-US"/>
        </w:rPr>
        <w:t>kn)</w:t>
      </w:r>
      <w:r w:rsidR="00AC3ECD" w:rsidRPr="00732F73">
        <w:rPr>
          <w:lang w:eastAsia="en-US"/>
        </w:rPr>
        <w:t>.</w:t>
      </w:r>
      <w:r w:rsidR="00343E48" w:rsidRPr="00732F73">
        <w:rPr>
          <w:lang w:eastAsia="en-US"/>
        </w:rPr>
        <w:t xml:space="preserve"> Rashodi za tehničke poslove od općeg interesa za uprav</w:t>
      </w:r>
      <w:r w:rsidR="00FF46B8" w:rsidRPr="00732F73">
        <w:rPr>
          <w:lang w:eastAsia="en-US"/>
        </w:rPr>
        <w:t xml:space="preserve">ljanje vodama ostvareni su sa </w:t>
      </w:r>
      <w:r w:rsidR="00BC6DB6" w:rsidRPr="00732F73">
        <w:rPr>
          <w:lang w:eastAsia="en-US"/>
        </w:rPr>
        <w:t>56</w:t>
      </w:r>
      <w:r w:rsidR="00F53EA4" w:rsidRPr="00732F73">
        <w:rPr>
          <w:lang w:eastAsia="en-US"/>
        </w:rPr>
        <w:t>.</w:t>
      </w:r>
      <w:r w:rsidR="00BC6DB6" w:rsidRPr="00732F73">
        <w:rPr>
          <w:lang w:eastAsia="en-US"/>
        </w:rPr>
        <w:t>427</w:t>
      </w:r>
      <w:r w:rsidR="00F53EA4" w:rsidRPr="00732F73">
        <w:rPr>
          <w:lang w:eastAsia="en-US"/>
        </w:rPr>
        <w:t>.7</w:t>
      </w:r>
      <w:r w:rsidR="00BC6DB6" w:rsidRPr="00732F73">
        <w:rPr>
          <w:lang w:eastAsia="en-US"/>
        </w:rPr>
        <w:t>82</w:t>
      </w:r>
      <w:r w:rsidR="00343E48" w:rsidRPr="00732F73">
        <w:rPr>
          <w:lang w:eastAsia="en-US"/>
        </w:rPr>
        <w:t xml:space="preserve"> kn, izdaci za </w:t>
      </w:r>
      <w:r w:rsidR="00FF46B8" w:rsidRPr="00732F73">
        <w:rPr>
          <w:lang w:eastAsia="en-US"/>
        </w:rPr>
        <w:t xml:space="preserve">obračun i naplatu naknada sa </w:t>
      </w:r>
      <w:r w:rsidR="00BC6DB6" w:rsidRPr="00732F73">
        <w:rPr>
          <w:lang w:eastAsia="en-US"/>
        </w:rPr>
        <w:t>140</w:t>
      </w:r>
      <w:r w:rsidR="00F53EA4" w:rsidRPr="00732F73">
        <w:rPr>
          <w:lang w:eastAsia="en-US"/>
        </w:rPr>
        <w:t>.</w:t>
      </w:r>
      <w:r w:rsidR="00BC6DB6" w:rsidRPr="00732F73">
        <w:rPr>
          <w:lang w:eastAsia="en-US"/>
        </w:rPr>
        <w:t>978</w:t>
      </w:r>
      <w:r w:rsidR="00F53EA4" w:rsidRPr="00732F73">
        <w:rPr>
          <w:lang w:eastAsia="en-US"/>
        </w:rPr>
        <w:t>.9</w:t>
      </w:r>
      <w:r w:rsidR="00BC6DB6" w:rsidRPr="00732F73">
        <w:rPr>
          <w:lang w:eastAsia="en-US"/>
        </w:rPr>
        <w:t>56</w:t>
      </w:r>
      <w:r w:rsidR="00343E48" w:rsidRPr="00732F73">
        <w:rPr>
          <w:lang w:eastAsia="en-US"/>
        </w:rPr>
        <w:t xml:space="preserve"> kn</w:t>
      </w:r>
      <w:r w:rsidR="00AD60CD" w:rsidRPr="00732F73">
        <w:rPr>
          <w:rFonts w:eastAsia="Calibri"/>
        </w:rPr>
        <w:t xml:space="preserve"> (</w:t>
      </w:r>
      <w:r w:rsidR="00AD60CD" w:rsidRPr="00732F73">
        <w:rPr>
          <w:lang w:eastAsia="en-US"/>
        </w:rPr>
        <w:t>u okviru o</w:t>
      </w:r>
      <w:r w:rsidR="00E151D9" w:rsidRPr="00732F73">
        <w:rPr>
          <w:lang w:eastAsia="en-US"/>
        </w:rPr>
        <w:t xml:space="preserve">vih izdataka najveći dio, čak </w:t>
      </w:r>
      <w:r w:rsidR="00F53EA4" w:rsidRPr="00732F73">
        <w:rPr>
          <w:lang w:eastAsia="en-US"/>
        </w:rPr>
        <w:t>8</w:t>
      </w:r>
      <w:r w:rsidR="00BC6DB6" w:rsidRPr="00732F73">
        <w:rPr>
          <w:lang w:eastAsia="en-US"/>
        </w:rPr>
        <w:t>6</w:t>
      </w:r>
      <w:r w:rsidR="00AD60CD" w:rsidRPr="00732F73">
        <w:rPr>
          <w:lang w:eastAsia="en-US"/>
        </w:rPr>
        <w:t xml:space="preserve">% </w:t>
      </w:r>
      <w:r w:rsidR="00E151D9" w:rsidRPr="00732F73">
        <w:rPr>
          <w:lang w:eastAsia="en-US"/>
        </w:rPr>
        <w:t xml:space="preserve">odnosno </w:t>
      </w:r>
      <w:r w:rsidR="00BC6DB6" w:rsidRPr="00732F73">
        <w:rPr>
          <w:lang w:eastAsia="en-US"/>
        </w:rPr>
        <w:t>121</w:t>
      </w:r>
      <w:r w:rsidR="00F53EA4" w:rsidRPr="00732F73">
        <w:rPr>
          <w:lang w:eastAsia="en-US"/>
        </w:rPr>
        <w:t>.</w:t>
      </w:r>
      <w:r w:rsidR="00BC6DB6" w:rsidRPr="00732F73">
        <w:rPr>
          <w:lang w:eastAsia="en-US"/>
        </w:rPr>
        <w:t>515</w:t>
      </w:r>
      <w:r w:rsidR="00F53EA4" w:rsidRPr="00732F73">
        <w:rPr>
          <w:lang w:eastAsia="en-US"/>
        </w:rPr>
        <w:t>.</w:t>
      </w:r>
      <w:r w:rsidR="00BC6DB6" w:rsidRPr="00732F73">
        <w:rPr>
          <w:lang w:eastAsia="en-US"/>
        </w:rPr>
        <w:t>824</w:t>
      </w:r>
      <w:r w:rsidR="002C1F80" w:rsidRPr="00732F73">
        <w:rPr>
          <w:lang w:eastAsia="en-US"/>
        </w:rPr>
        <w:t xml:space="preserve"> kn</w:t>
      </w:r>
      <w:r w:rsidR="00AD60CD" w:rsidRPr="00732F73">
        <w:rPr>
          <w:lang w:eastAsia="en-US"/>
        </w:rPr>
        <w:t xml:space="preserve"> se odnosi na zakonsku obavezu plaćanja naknade od 5% za usluge obračuna i naplate naknade za zaštitu i korištenje voda pravnim osobama koje obavljaju vodoopskrbnu djelatnost i</w:t>
      </w:r>
      <w:r w:rsidR="00BC6DB6" w:rsidRPr="00732F73">
        <w:rPr>
          <w:lang w:eastAsia="en-US"/>
        </w:rPr>
        <w:t xml:space="preserve"> </w:t>
      </w:r>
      <w:r w:rsidR="001264A0" w:rsidRPr="00732F73">
        <w:rPr>
          <w:lang w:eastAsia="en-US"/>
        </w:rPr>
        <w:t xml:space="preserve">10% </w:t>
      </w:r>
      <w:r w:rsidR="00AD60CD" w:rsidRPr="00732F73">
        <w:rPr>
          <w:lang w:eastAsia="en-US"/>
        </w:rPr>
        <w:t>pravnim osobama, odnosno jedinicama lokalne samouprave koje obavljaju poslove utvrđivanja i naplate komunalne naknade i uz to naplaćuju i naknadu za uređenje voda)</w:t>
      </w:r>
      <w:r w:rsidR="00343E48" w:rsidRPr="00732F73">
        <w:rPr>
          <w:lang w:eastAsia="en-US"/>
        </w:rPr>
        <w:t>,</w:t>
      </w:r>
      <w:r w:rsidR="00F53EA4" w:rsidRPr="00732F73">
        <w:rPr>
          <w:lang w:eastAsia="en-US"/>
        </w:rPr>
        <w:t xml:space="preserve"> </w:t>
      </w:r>
      <w:r w:rsidR="00343E48" w:rsidRPr="00732F73">
        <w:rPr>
          <w:lang w:eastAsia="en-US"/>
        </w:rPr>
        <w:t xml:space="preserve">rashodi za </w:t>
      </w:r>
      <w:proofErr w:type="spellStart"/>
      <w:r w:rsidR="00343E48" w:rsidRPr="00732F73">
        <w:rPr>
          <w:lang w:eastAsia="en-US"/>
        </w:rPr>
        <w:t>v</w:t>
      </w:r>
      <w:r w:rsidR="001264A0" w:rsidRPr="00732F73">
        <w:rPr>
          <w:lang w:eastAsia="en-US"/>
        </w:rPr>
        <w:t>odnogospodarski</w:t>
      </w:r>
      <w:proofErr w:type="spellEnd"/>
      <w:r w:rsidR="001264A0" w:rsidRPr="00732F73">
        <w:rPr>
          <w:lang w:eastAsia="en-US"/>
        </w:rPr>
        <w:t xml:space="preserve"> laboratorij</w:t>
      </w:r>
      <w:r w:rsidR="00F53EA4" w:rsidRPr="00732F73">
        <w:rPr>
          <w:lang w:eastAsia="en-US"/>
        </w:rPr>
        <w:t xml:space="preserve"> ostvareni</w:t>
      </w:r>
      <w:r w:rsidR="00783C1F" w:rsidRPr="00732F73">
        <w:rPr>
          <w:lang w:eastAsia="en-US"/>
        </w:rPr>
        <w:t xml:space="preserve"> su</w:t>
      </w:r>
      <w:r w:rsidR="001264A0" w:rsidRPr="00732F73">
        <w:rPr>
          <w:lang w:eastAsia="en-US"/>
        </w:rPr>
        <w:t xml:space="preserve"> sa </w:t>
      </w:r>
      <w:r w:rsidR="00BC6DB6" w:rsidRPr="00732F73">
        <w:rPr>
          <w:lang w:eastAsia="en-US"/>
        </w:rPr>
        <w:t>6</w:t>
      </w:r>
      <w:r w:rsidR="00F53EA4" w:rsidRPr="00732F73">
        <w:rPr>
          <w:lang w:eastAsia="en-US"/>
        </w:rPr>
        <w:t>.</w:t>
      </w:r>
      <w:r w:rsidR="00BC6DB6" w:rsidRPr="00732F73">
        <w:rPr>
          <w:lang w:eastAsia="en-US"/>
        </w:rPr>
        <w:t>859</w:t>
      </w:r>
      <w:r w:rsidR="00F53EA4" w:rsidRPr="00732F73">
        <w:rPr>
          <w:lang w:eastAsia="en-US"/>
        </w:rPr>
        <w:t>.</w:t>
      </w:r>
      <w:r w:rsidR="00BC6DB6" w:rsidRPr="00732F73">
        <w:rPr>
          <w:lang w:eastAsia="en-US"/>
        </w:rPr>
        <w:t>736</w:t>
      </w:r>
      <w:r w:rsidR="00343E48" w:rsidRPr="00732F73">
        <w:rPr>
          <w:lang w:eastAsia="en-US"/>
        </w:rPr>
        <w:t xml:space="preserve"> kn.</w:t>
      </w:r>
    </w:p>
    <w:p w:rsidR="00343E48" w:rsidRPr="00732F73" w:rsidRDefault="00343E48" w:rsidP="00732F73">
      <w:pPr>
        <w:jc w:val="both"/>
        <w:rPr>
          <w:lang w:eastAsia="en-US"/>
        </w:rPr>
      </w:pPr>
      <w:r w:rsidRPr="00732F73">
        <w:rPr>
          <w:lang w:eastAsia="en-US"/>
        </w:rPr>
        <w:t>Izdaci za sređivanje vlasništva n</w:t>
      </w:r>
      <w:r w:rsidR="00F94C76" w:rsidRPr="00732F73">
        <w:rPr>
          <w:lang w:eastAsia="en-US"/>
        </w:rPr>
        <w:t xml:space="preserve">a vodnom dobru ostvareni su sa </w:t>
      </w:r>
      <w:r w:rsidR="0055518D" w:rsidRPr="00732F73">
        <w:rPr>
          <w:lang w:eastAsia="en-US"/>
        </w:rPr>
        <w:t>4</w:t>
      </w:r>
      <w:r w:rsidR="00783C1F" w:rsidRPr="00732F73">
        <w:rPr>
          <w:lang w:eastAsia="en-US"/>
        </w:rPr>
        <w:t>.</w:t>
      </w:r>
      <w:r w:rsidR="0055518D" w:rsidRPr="00732F73">
        <w:rPr>
          <w:lang w:eastAsia="en-US"/>
        </w:rPr>
        <w:t>252</w:t>
      </w:r>
      <w:r w:rsidR="00783C1F" w:rsidRPr="00732F73">
        <w:rPr>
          <w:lang w:eastAsia="en-US"/>
        </w:rPr>
        <w:t>.</w:t>
      </w:r>
      <w:r w:rsidR="0055518D" w:rsidRPr="00732F73">
        <w:rPr>
          <w:lang w:eastAsia="en-US"/>
        </w:rPr>
        <w:t>397</w:t>
      </w:r>
      <w:r w:rsidRPr="00732F73">
        <w:rPr>
          <w:lang w:eastAsia="en-US"/>
        </w:rPr>
        <w:t xml:space="preserve"> kn, dok su rashodi za hitne intervencije u području vodnog gospodarstva </w:t>
      </w:r>
      <w:r w:rsidR="0055518D" w:rsidRPr="00732F73">
        <w:rPr>
          <w:lang w:eastAsia="en-US"/>
        </w:rPr>
        <w:t>ostvareni sa 885.867 kn</w:t>
      </w:r>
      <w:r w:rsidR="004B6225" w:rsidRPr="00732F73">
        <w:rPr>
          <w:lang w:eastAsia="en-US"/>
        </w:rPr>
        <w:t>, a</w:t>
      </w:r>
      <w:r w:rsidRPr="00732F73">
        <w:rPr>
          <w:lang w:eastAsia="en-US"/>
        </w:rPr>
        <w:t xml:space="preserve"> ostali izva</w:t>
      </w:r>
      <w:r w:rsidR="00F94C76" w:rsidRPr="00732F73">
        <w:rPr>
          <w:lang w:eastAsia="en-US"/>
        </w:rPr>
        <w:t xml:space="preserve">nredni izdaci ostvareni </w:t>
      </w:r>
      <w:r w:rsidR="004B6225" w:rsidRPr="00732F73">
        <w:rPr>
          <w:lang w:eastAsia="en-US"/>
        </w:rPr>
        <w:t xml:space="preserve">su </w:t>
      </w:r>
      <w:r w:rsidR="00F94C76" w:rsidRPr="00732F73">
        <w:rPr>
          <w:lang w:eastAsia="en-US"/>
        </w:rPr>
        <w:t xml:space="preserve">sa </w:t>
      </w:r>
      <w:r w:rsidR="0055518D" w:rsidRPr="00732F73">
        <w:rPr>
          <w:lang w:eastAsia="en-US"/>
        </w:rPr>
        <w:t>3</w:t>
      </w:r>
      <w:r w:rsidR="00783C1F" w:rsidRPr="00732F73">
        <w:rPr>
          <w:lang w:eastAsia="en-US"/>
        </w:rPr>
        <w:t>.</w:t>
      </w:r>
      <w:r w:rsidR="0055518D" w:rsidRPr="00732F73">
        <w:rPr>
          <w:lang w:eastAsia="en-US"/>
        </w:rPr>
        <w:t>017</w:t>
      </w:r>
      <w:r w:rsidR="00783C1F" w:rsidRPr="00732F73">
        <w:rPr>
          <w:lang w:eastAsia="en-US"/>
        </w:rPr>
        <w:t>.</w:t>
      </w:r>
      <w:r w:rsidR="0055518D" w:rsidRPr="00732F73">
        <w:rPr>
          <w:lang w:eastAsia="en-US"/>
        </w:rPr>
        <w:t>814</w:t>
      </w:r>
      <w:r w:rsidRPr="00732F73">
        <w:rPr>
          <w:lang w:eastAsia="en-US"/>
        </w:rPr>
        <w:t xml:space="preserve"> kn.</w:t>
      </w:r>
    </w:p>
    <w:p w:rsidR="001F236B" w:rsidRPr="00732F73" w:rsidRDefault="001F236B" w:rsidP="00732F73">
      <w:pPr>
        <w:jc w:val="both"/>
        <w:rPr>
          <w:lang w:eastAsia="en-US"/>
        </w:rPr>
      </w:pPr>
    </w:p>
    <w:p w:rsidR="004D7E19" w:rsidRPr="00732F73" w:rsidRDefault="005774EE" w:rsidP="00732F73">
      <w:pPr>
        <w:jc w:val="both"/>
        <w:rPr>
          <w:noProof/>
          <w:lang w:eastAsia="en-US"/>
        </w:rPr>
      </w:pPr>
      <w:r w:rsidRPr="00732F73">
        <w:rPr>
          <w:b/>
          <w:lang w:eastAsia="en-US"/>
        </w:rPr>
        <w:t xml:space="preserve">U okviru </w:t>
      </w:r>
      <w:r w:rsidR="004D7E19" w:rsidRPr="00732F73">
        <w:rPr>
          <w:b/>
          <w:lang w:eastAsia="en-US"/>
        </w:rPr>
        <w:t xml:space="preserve">kapitalnih rashoda i transfera, odnosno </w:t>
      </w:r>
      <w:r w:rsidR="00783C1F" w:rsidRPr="00732F73">
        <w:rPr>
          <w:b/>
          <w:lang w:eastAsia="en-US"/>
        </w:rPr>
        <w:t xml:space="preserve">programa </w:t>
      </w:r>
      <w:r w:rsidRPr="00732F73">
        <w:rPr>
          <w:b/>
          <w:lang w:eastAsia="en-US"/>
        </w:rPr>
        <w:t>investicijskih aktivnosti</w:t>
      </w:r>
      <w:r w:rsidR="0086659B" w:rsidRPr="00732F73">
        <w:rPr>
          <w:b/>
          <w:lang w:eastAsia="en-US"/>
        </w:rPr>
        <w:t xml:space="preserve"> </w:t>
      </w:r>
      <w:r w:rsidR="009D713C" w:rsidRPr="00732F73">
        <w:rPr>
          <w:b/>
          <w:lang w:eastAsia="en-US"/>
        </w:rPr>
        <w:t>- Program 104</w:t>
      </w:r>
      <w:r w:rsidR="009D713C" w:rsidRPr="00732F73">
        <w:rPr>
          <w:lang w:eastAsia="en-US"/>
        </w:rPr>
        <w:t xml:space="preserve"> </w:t>
      </w:r>
      <w:r w:rsidR="0086659B" w:rsidRPr="00732F73">
        <w:rPr>
          <w:lang w:eastAsia="en-US"/>
        </w:rPr>
        <w:t>(</w:t>
      </w:r>
      <w:r w:rsidR="007A4DD6" w:rsidRPr="00732F73">
        <w:rPr>
          <w:lang w:eastAsia="en-US"/>
        </w:rPr>
        <w:t>1.532</w:t>
      </w:r>
      <w:r w:rsidR="00783C1F" w:rsidRPr="00732F73">
        <w:rPr>
          <w:lang w:eastAsia="en-US"/>
        </w:rPr>
        <w:t>.</w:t>
      </w:r>
      <w:r w:rsidR="007A4DD6" w:rsidRPr="00732F73">
        <w:rPr>
          <w:lang w:eastAsia="en-US"/>
        </w:rPr>
        <w:t>667</w:t>
      </w:r>
      <w:r w:rsidR="00783C1F" w:rsidRPr="00732F73">
        <w:rPr>
          <w:lang w:eastAsia="en-US"/>
        </w:rPr>
        <w:t>.</w:t>
      </w:r>
      <w:r w:rsidR="007A4DD6" w:rsidRPr="00732F73">
        <w:rPr>
          <w:lang w:eastAsia="en-US"/>
        </w:rPr>
        <w:t>262</w:t>
      </w:r>
      <w:r w:rsidR="00DE28E6" w:rsidRPr="00732F73">
        <w:rPr>
          <w:lang w:eastAsia="en-US"/>
        </w:rPr>
        <w:t xml:space="preserve"> kn)</w:t>
      </w:r>
      <w:r w:rsidR="004D7E19" w:rsidRPr="00732F73">
        <w:rPr>
          <w:lang w:eastAsia="en-US"/>
        </w:rPr>
        <w:t xml:space="preserve"> realizirano je</w:t>
      </w:r>
      <w:r w:rsidR="00783C1F" w:rsidRPr="00732F73">
        <w:rPr>
          <w:lang w:eastAsia="en-US"/>
        </w:rPr>
        <w:t xml:space="preserve"> </w:t>
      </w:r>
      <w:r w:rsidR="004D7E19" w:rsidRPr="00732F73">
        <w:rPr>
          <w:lang w:eastAsia="en-US"/>
        </w:rPr>
        <w:t>kako slijedi:</w:t>
      </w:r>
    </w:p>
    <w:p w:rsidR="004D7E19" w:rsidRPr="00732F73" w:rsidRDefault="004D7E19" w:rsidP="00732F73">
      <w:pPr>
        <w:numPr>
          <w:ilvl w:val="0"/>
          <w:numId w:val="8"/>
        </w:numPr>
        <w:jc w:val="both"/>
        <w:rPr>
          <w:lang w:eastAsia="en-US"/>
        </w:rPr>
      </w:pPr>
      <w:r w:rsidRPr="00732F73">
        <w:rPr>
          <w:lang w:eastAsia="en-US"/>
        </w:rPr>
        <w:t xml:space="preserve">ulaganja u objekte zaštite od štetnog djelovanja voda – </w:t>
      </w:r>
      <w:r w:rsidR="00173D79" w:rsidRPr="00732F73">
        <w:rPr>
          <w:lang w:eastAsia="en-US"/>
        </w:rPr>
        <w:t>razvoj sustava zaštite od poplava i drugih oblika štetnog djelovanja voda uključivo izradu projektne dokumentacije za kapitalne investicije, provođenje postupka ishođenja dozvola i rekonstrukciju postojećih te izgradnju novih vodnih građevina</w:t>
      </w:r>
      <w:r w:rsidR="00783C1F" w:rsidRPr="00732F73">
        <w:rPr>
          <w:lang w:eastAsia="en-US"/>
        </w:rPr>
        <w:t xml:space="preserve"> i građevina osnovne melioracijske odvodnje</w:t>
      </w:r>
      <w:r w:rsidR="00173D79" w:rsidRPr="00732F73">
        <w:rPr>
          <w:lang w:eastAsia="en-US"/>
        </w:rPr>
        <w:t xml:space="preserve"> (brana, nasipa, ustava, </w:t>
      </w:r>
      <w:proofErr w:type="spellStart"/>
      <w:r w:rsidR="00173D79" w:rsidRPr="00732F73">
        <w:rPr>
          <w:lang w:eastAsia="en-US"/>
        </w:rPr>
        <w:t>obaloutvrda</w:t>
      </w:r>
      <w:proofErr w:type="spellEnd"/>
      <w:r w:rsidR="00173D79" w:rsidRPr="00732F73">
        <w:rPr>
          <w:lang w:eastAsia="en-US"/>
        </w:rPr>
        <w:t>, retencija</w:t>
      </w:r>
      <w:r w:rsidR="00783C1F" w:rsidRPr="00732F73">
        <w:rPr>
          <w:lang w:eastAsia="en-US"/>
        </w:rPr>
        <w:t>, akumulacija</w:t>
      </w:r>
      <w:r w:rsidR="00173D79" w:rsidRPr="00732F73">
        <w:rPr>
          <w:lang w:eastAsia="en-US"/>
        </w:rPr>
        <w:t xml:space="preserve"> i dr.) </w:t>
      </w:r>
      <w:r w:rsidR="00BE0486" w:rsidRPr="00732F73">
        <w:rPr>
          <w:lang w:eastAsia="en-US"/>
        </w:rPr>
        <w:t>193</w:t>
      </w:r>
      <w:r w:rsidR="00783C1F" w:rsidRPr="00732F73">
        <w:rPr>
          <w:lang w:eastAsia="en-US"/>
        </w:rPr>
        <w:t>.</w:t>
      </w:r>
      <w:r w:rsidR="00BE0486" w:rsidRPr="00732F73">
        <w:rPr>
          <w:lang w:eastAsia="en-US"/>
        </w:rPr>
        <w:t>983</w:t>
      </w:r>
      <w:r w:rsidR="00783C1F" w:rsidRPr="00732F73">
        <w:rPr>
          <w:lang w:eastAsia="en-US"/>
        </w:rPr>
        <w:t>.</w:t>
      </w:r>
      <w:r w:rsidR="00BE0486" w:rsidRPr="00732F73">
        <w:rPr>
          <w:lang w:eastAsia="en-US"/>
        </w:rPr>
        <w:t>608</w:t>
      </w:r>
      <w:r w:rsidR="004322D0" w:rsidRPr="00732F73">
        <w:rPr>
          <w:lang w:eastAsia="en-US"/>
        </w:rPr>
        <w:t xml:space="preserve"> </w:t>
      </w:r>
      <w:r w:rsidRPr="00732F73">
        <w:rPr>
          <w:lang w:eastAsia="en-US"/>
        </w:rPr>
        <w:t>kn,</w:t>
      </w:r>
    </w:p>
    <w:p w:rsidR="00DE28E6" w:rsidRPr="00732F73" w:rsidRDefault="00DE28E6" w:rsidP="00732F73">
      <w:pPr>
        <w:numPr>
          <w:ilvl w:val="0"/>
          <w:numId w:val="8"/>
        </w:numPr>
        <w:jc w:val="both"/>
        <w:rPr>
          <w:lang w:eastAsia="en-US"/>
        </w:rPr>
      </w:pPr>
      <w:r w:rsidRPr="00732F73">
        <w:rPr>
          <w:lang w:eastAsia="en-US"/>
        </w:rPr>
        <w:t>ulaganja u obn</w:t>
      </w:r>
      <w:r w:rsidR="0086659B" w:rsidRPr="00732F73">
        <w:rPr>
          <w:lang w:eastAsia="en-US"/>
        </w:rPr>
        <w:t xml:space="preserve">ovu i razvitak vodoopskrbe – </w:t>
      </w:r>
      <w:r w:rsidR="00B661C8" w:rsidRPr="00732F73">
        <w:rPr>
          <w:lang w:eastAsia="en-US"/>
        </w:rPr>
        <w:t>osiguranje dovoljnih količina vode zadovoljavajuće kakvoće, sukladno postojećoj regulativi, za postojeće i razvojne potrebe svih korisnik</w:t>
      </w:r>
      <w:r w:rsidR="00D00FEA" w:rsidRPr="00732F73">
        <w:rPr>
          <w:lang w:eastAsia="en-US"/>
        </w:rPr>
        <w:t>a (stanovništva i gospodarstva)</w:t>
      </w:r>
      <w:r w:rsidR="00041D6E" w:rsidRPr="00732F73">
        <w:rPr>
          <w:lang w:eastAsia="en-US"/>
        </w:rPr>
        <w:t xml:space="preserve"> kroz</w:t>
      </w:r>
      <w:r w:rsidR="00B661C8" w:rsidRPr="00732F73">
        <w:rPr>
          <w:lang w:eastAsia="en-US"/>
        </w:rPr>
        <w:t xml:space="preserve"> </w:t>
      </w:r>
      <w:r w:rsidR="00041D6E" w:rsidRPr="00732F73">
        <w:rPr>
          <w:lang w:eastAsia="en-US"/>
        </w:rPr>
        <w:t xml:space="preserve">izgradnju glavnih i magistralnih cjevovoda, zdenaca, crpnih stanica, vodospremnika, vodoopskrbnih sustava, vodocrpilišta, sanacija gubitaka na vodoopskrbnim sustavima, priprema projekata i drugo na različitim vodoopskrbnim zonama </w:t>
      </w:r>
      <w:r w:rsidR="00BE0486" w:rsidRPr="00732F73">
        <w:rPr>
          <w:lang w:eastAsia="en-US"/>
        </w:rPr>
        <w:t>185</w:t>
      </w:r>
      <w:r w:rsidR="00041D6E" w:rsidRPr="00732F73">
        <w:rPr>
          <w:lang w:eastAsia="en-US"/>
        </w:rPr>
        <w:t>.68</w:t>
      </w:r>
      <w:r w:rsidR="00BE0486" w:rsidRPr="00732F73">
        <w:rPr>
          <w:lang w:eastAsia="en-US"/>
        </w:rPr>
        <w:t>1</w:t>
      </w:r>
      <w:r w:rsidR="00041D6E" w:rsidRPr="00732F73">
        <w:rPr>
          <w:lang w:eastAsia="en-US"/>
        </w:rPr>
        <w:t>.</w:t>
      </w:r>
      <w:r w:rsidR="00BE0486" w:rsidRPr="00732F73">
        <w:rPr>
          <w:lang w:eastAsia="en-US"/>
        </w:rPr>
        <w:t>746</w:t>
      </w:r>
      <w:r w:rsidRPr="00732F73">
        <w:rPr>
          <w:lang w:eastAsia="en-US"/>
        </w:rPr>
        <w:t xml:space="preserve"> kn,</w:t>
      </w:r>
    </w:p>
    <w:p w:rsidR="004D7E19" w:rsidRPr="00732F73" w:rsidRDefault="004D7E19" w:rsidP="00732F73">
      <w:pPr>
        <w:numPr>
          <w:ilvl w:val="0"/>
          <w:numId w:val="8"/>
        </w:numPr>
        <w:jc w:val="both"/>
        <w:rPr>
          <w:lang w:eastAsia="en-US"/>
        </w:rPr>
      </w:pPr>
      <w:r w:rsidRPr="00732F73">
        <w:rPr>
          <w:lang w:eastAsia="en-US"/>
        </w:rPr>
        <w:t xml:space="preserve">ulaganja u objekte zaštite voda i mora od zagađivanja – </w:t>
      </w:r>
      <w:r w:rsidR="00B661C8" w:rsidRPr="00732F73">
        <w:rPr>
          <w:lang w:eastAsia="en-US"/>
        </w:rPr>
        <w:t xml:space="preserve">izrada projektne i ostale dokumentacije, te obnova i izgradnja glavnih kolektora, sekundarne mreže, crpnih stanica, uređaja za pročišćavanje otpadnih voda, te ostalih </w:t>
      </w:r>
      <w:proofErr w:type="spellStart"/>
      <w:r w:rsidR="00B661C8" w:rsidRPr="00732F73">
        <w:rPr>
          <w:lang w:eastAsia="en-US"/>
        </w:rPr>
        <w:t>vodnokomunalnih</w:t>
      </w:r>
      <w:proofErr w:type="spellEnd"/>
      <w:r w:rsidR="00B661C8" w:rsidRPr="00732F73">
        <w:rPr>
          <w:lang w:eastAsia="en-US"/>
        </w:rPr>
        <w:t xml:space="preserve"> građevina u okviru sustava javne odvodnje </w:t>
      </w:r>
      <w:r w:rsidR="00BE0486" w:rsidRPr="00732F73">
        <w:rPr>
          <w:lang w:eastAsia="en-US"/>
        </w:rPr>
        <w:t>148</w:t>
      </w:r>
      <w:r w:rsidR="006C561E" w:rsidRPr="00732F73">
        <w:rPr>
          <w:lang w:eastAsia="en-US"/>
        </w:rPr>
        <w:t>.</w:t>
      </w:r>
      <w:r w:rsidR="00BE0486" w:rsidRPr="00732F73">
        <w:rPr>
          <w:lang w:eastAsia="en-US"/>
        </w:rPr>
        <w:t>610</w:t>
      </w:r>
      <w:r w:rsidR="006C561E" w:rsidRPr="00732F73">
        <w:rPr>
          <w:lang w:eastAsia="en-US"/>
        </w:rPr>
        <w:t>.</w:t>
      </w:r>
      <w:r w:rsidR="00BE0486" w:rsidRPr="00732F73">
        <w:rPr>
          <w:lang w:eastAsia="en-US"/>
        </w:rPr>
        <w:t>757</w:t>
      </w:r>
      <w:r w:rsidR="004322D0" w:rsidRPr="00732F73">
        <w:rPr>
          <w:lang w:eastAsia="en-US"/>
        </w:rPr>
        <w:t xml:space="preserve"> </w:t>
      </w:r>
      <w:r w:rsidRPr="00732F73">
        <w:rPr>
          <w:lang w:eastAsia="en-US"/>
        </w:rPr>
        <w:t>kn,</w:t>
      </w:r>
    </w:p>
    <w:p w:rsidR="004D7E19" w:rsidRPr="00732F73" w:rsidRDefault="004D7E19" w:rsidP="00732F73">
      <w:pPr>
        <w:numPr>
          <w:ilvl w:val="0"/>
          <w:numId w:val="8"/>
        </w:numPr>
        <w:jc w:val="both"/>
        <w:rPr>
          <w:lang w:eastAsia="en-US"/>
        </w:rPr>
      </w:pPr>
      <w:r w:rsidRPr="00732F73">
        <w:rPr>
          <w:lang w:eastAsia="en-US"/>
        </w:rPr>
        <w:t xml:space="preserve">ulaganja u Projekt Jadran – </w:t>
      </w:r>
      <w:r w:rsidR="006C561E" w:rsidRPr="00732F73">
        <w:rPr>
          <w:lang w:eastAsia="en-US"/>
        </w:rPr>
        <w:t>5.449.986</w:t>
      </w:r>
      <w:r w:rsidR="004322D0" w:rsidRPr="00732F73">
        <w:rPr>
          <w:lang w:eastAsia="en-US"/>
        </w:rPr>
        <w:t xml:space="preserve"> </w:t>
      </w:r>
      <w:r w:rsidRPr="00732F73">
        <w:rPr>
          <w:lang w:eastAsia="en-US"/>
        </w:rPr>
        <w:t>kn,</w:t>
      </w:r>
    </w:p>
    <w:p w:rsidR="00DE28E6" w:rsidRPr="00732F73" w:rsidRDefault="00DE28E6" w:rsidP="00732F73">
      <w:pPr>
        <w:numPr>
          <w:ilvl w:val="0"/>
          <w:numId w:val="8"/>
        </w:numPr>
        <w:jc w:val="both"/>
        <w:rPr>
          <w:noProof/>
          <w:lang w:eastAsia="en-US"/>
        </w:rPr>
      </w:pPr>
      <w:r w:rsidRPr="00732F73">
        <w:rPr>
          <w:lang w:eastAsia="en-US"/>
        </w:rPr>
        <w:t>ulaganja u materijalnu i nematerij</w:t>
      </w:r>
      <w:r w:rsidR="0086659B" w:rsidRPr="00732F73">
        <w:rPr>
          <w:lang w:eastAsia="en-US"/>
        </w:rPr>
        <w:t xml:space="preserve">alnu imovinu- zemljište – </w:t>
      </w:r>
      <w:r w:rsidR="00BE0486" w:rsidRPr="00732F73">
        <w:rPr>
          <w:lang w:eastAsia="en-US"/>
        </w:rPr>
        <w:t>55</w:t>
      </w:r>
      <w:r w:rsidR="006C561E" w:rsidRPr="00732F73">
        <w:rPr>
          <w:lang w:eastAsia="en-US"/>
        </w:rPr>
        <w:t>.</w:t>
      </w:r>
      <w:r w:rsidR="00BE0486" w:rsidRPr="00732F73">
        <w:rPr>
          <w:lang w:eastAsia="en-US"/>
        </w:rPr>
        <w:t>938</w:t>
      </w:r>
      <w:r w:rsidR="006C561E" w:rsidRPr="00732F73">
        <w:rPr>
          <w:lang w:eastAsia="en-US"/>
        </w:rPr>
        <w:t>.</w:t>
      </w:r>
      <w:r w:rsidR="00BE0486" w:rsidRPr="00732F73">
        <w:rPr>
          <w:lang w:eastAsia="en-US"/>
        </w:rPr>
        <w:t>239</w:t>
      </w:r>
      <w:r w:rsidRPr="00732F73">
        <w:rPr>
          <w:lang w:eastAsia="en-US"/>
        </w:rPr>
        <w:t xml:space="preserve"> kn,</w:t>
      </w:r>
    </w:p>
    <w:p w:rsidR="0086659B" w:rsidRPr="00732F73" w:rsidRDefault="004D7E19" w:rsidP="00732F73">
      <w:pPr>
        <w:numPr>
          <w:ilvl w:val="0"/>
          <w:numId w:val="8"/>
        </w:numPr>
        <w:jc w:val="both"/>
        <w:rPr>
          <w:lang w:eastAsia="en-US"/>
        </w:rPr>
      </w:pPr>
      <w:r w:rsidRPr="00732F73">
        <w:rPr>
          <w:lang w:eastAsia="en-US"/>
        </w:rPr>
        <w:t>ulaganja u projekte navodnjavanja –</w:t>
      </w:r>
      <w:r w:rsidR="00AE1867" w:rsidRPr="00732F73">
        <w:rPr>
          <w:lang w:eastAsia="en-US"/>
        </w:rPr>
        <w:t xml:space="preserve"> </w:t>
      </w:r>
      <w:r w:rsidR="00B661C8" w:rsidRPr="00732F73">
        <w:rPr>
          <w:lang w:eastAsia="en-US"/>
        </w:rPr>
        <w:t xml:space="preserve">sufinanciranje projektne dokumentacije sa županijama investitorima u projektima navodnjavanja </w:t>
      </w:r>
      <w:r w:rsidR="00BE0486" w:rsidRPr="00732F73">
        <w:rPr>
          <w:lang w:eastAsia="en-US"/>
        </w:rPr>
        <w:t>11</w:t>
      </w:r>
      <w:r w:rsidR="006C561E" w:rsidRPr="00732F73">
        <w:rPr>
          <w:lang w:eastAsia="en-US"/>
        </w:rPr>
        <w:t>.</w:t>
      </w:r>
      <w:r w:rsidR="00BE0486" w:rsidRPr="00732F73">
        <w:rPr>
          <w:lang w:eastAsia="en-US"/>
        </w:rPr>
        <w:t>835</w:t>
      </w:r>
      <w:r w:rsidR="006C561E" w:rsidRPr="00732F73">
        <w:rPr>
          <w:lang w:eastAsia="en-US"/>
        </w:rPr>
        <w:t>.2</w:t>
      </w:r>
      <w:r w:rsidR="00BE0486" w:rsidRPr="00732F73">
        <w:rPr>
          <w:lang w:eastAsia="en-US"/>
        </w:rPr>
        <w:t>14</w:t>
      </w:r>
      <w:r w:rsidR="004322D0" w:rsidRPr="00732F73">
        <w:rPr>
          <w:lang w:eastAsia="en-US"/>
        </w:rPr>
        <w:t xml:space="preserve"> </w:t>
      </w:r>
      <w:r w:rsidRPr="00732F73">
        <w:rPr>
          <w:lang w:eastAsia="en-US"/>
        </w:rPr>
        <w:t>kn,</w:t>
      </w:r>
      <w:r w:rsidR="0086659B" w:rsidRPr="00732F73">
        <w:rPr>
          <w:lang w:eastAsia="en-US"/>
        </w:rPr>
        <w:t xml:space="preserve"> </w:t>
      </w:r>
    </w:p>
    <w:p w:rsidR="004D7E19" w:rsidRPr="00732F73" w:rsidRDefault="0086659B" w:rsidP="00732F73">
      <w:pPr>
        <w:numPr>
          <w:ilvl w:val="0"/>
          <w:numId w:val="8"/>
        </w:numPr>
        <w:jc w:val="both"/>
        <w:rPr>
          <w:lang w:eastAsia="en-US"/>
        </w:rPr>
      </w:pPr>
      <w:r w:rsidRPr="00732F73">
        <w:rPr>
          <w:lang w:eastAsia="en-US"/>
        </w:rPr>
        <w:t xml:space="preserve">ulaganja u projekte iz EU fondova – </w:t>
      </w:r>
      <w:r w:rsidR="00B661C8" w:rsidRPr="00732F73">
        <w:rPr>
          <w:lang w:eastAsia="en-US"/>
        </w:rPr>
        <w:t xml:space="preserve">izgradnja i rekonstrukcija sustava javne vodoopskrbe i odvodnje, uređaja za pročišćavanje otpadnih voda, uređaja za pročišćavanje pitke vode, nabava opreme za održavanje komunalnih sustava, usluge nadzora, promidžbe i vidljivosti, vođenja projekata; kao i aktivnosti potrebne za pripremu novih projekata: izrada studija izvodljivosti, elaborata za ocjenu o potrebi </w:t>
      </w:r>
      <w:r w:rsidR="00B661C8" w:rsidRPr="00732F73">
        <w:rPr>
          <w:lang w:eastAsia="en-US"/>
        </w:rPr>
        <w:lastRenderedPageBreak/>
        <w:t xml:space="preserve">procjene utjecaja na okoliš, odnosno studija utjecaja na okoliš, istražnih i geodetskih radova s pripadajućim elaboratima ili podlogama, idejnih i glavnih projekata vodoopskrbne mreže s pripadajućim građevinama te aplikacija za prijavu projekata za EU sufinanciranje </w:t>
      </w:r>
      <w:r w:rsidR="00BE0486" w:rsidRPr="00732F73">
        <w:rPr>
          <w:lang w:eastAsia="en-US"/>
        </w:rPr>
        <w:t>892</w:t>
      </w:r>
      <w:r w:rsidR="006C561E" w:rsidRPr="00732F73">
        <w:rPr>
          <w:lang w:eastAsia="en-US"/>
        </w:rPr>
        <w:t>.</w:t>
      </w:r>
      <w:r w:rsidR="00BE0486" w:rsidRPr="00732F73">
        <w:rPr>
          <w:lang w:eastAsia="en-US"/>
        </w:rPr>
        <w:t>846</w:t>
      </w:r>
      <w:r w:rsidR="006C561E" w:rsidRPr="00732F73">
        <w:rPr>
          <w:lang w:eastAsia="en-US"/>
        </w:rPr>
        <w:t>.</w:t>
      </w:r>
      <w:r w:rsidR="00BE0486" w:rsidRPr="00732F73">
        <w:rPr>
          <w:lang w:eastAsia="en-US"/>
        </w:rPr>
        <w:t>064</w:t>
      </w:r>
      <w:r w:rsidRPr="00732F73">
        <w:rPr>
          <w:lang w:eastAsia="en-US"/>
        </w:rPr>
        <w:t xml:space="preserve"> kn,</w:t>
      </w:r>
    </w:p>
    <w:p w:rsidR="00700385" w:rsidRPr="00732F73" w:rsidRDefault="004D7E19" w:rsidP="00732F73">
      <w:pPr>
        <w:numPr>
          <w:ilvl w:val="0"/>
          <w:numId w:val="8"/>
        </w:numPr>
        <w:jc w:val="both"/>
        <w:rPr>
          <w:lang w:eastAsia="en-US"/>
        </w:rPr>
      </w:pPr>
      <w:r w:rsidRPr="00732F73">
        <w:rPr>
          <w:lang w:eastAsia="en-US"/>
        </w:rPr>
        <w:t xml:space="preserve">ulaganja u projekte Švicarska darovnica – </w:t>
      </w:r>
      <w:r w:rsidR="00F51A6D" w:rsidRPr="00732F73">
        <w:rPr>
          <w:lang w:eastAsia="en-US"/>
        </w:rPr>
        <w:t xml:space="preserve">poboljšanje </w:t>
      </w:r>
      <w:proofErr w:type="spellStart"/>
      <w:r w:rsidR="00F51A6D" w:rsidRPr="00732F73">
        <w:rPr>
          <w:lang w:eastAsia="en-US"/>
        </w:rPr>
        <w:t>vodnokomunalne</w:t>
      </w:r>
      <w:proofErr w:type="spellEnd"/>
      <w:r w:rsidR="00F51A6D" w:rsidRPr="00732F73">
        <w:rPr>
          <w:lang w:eastAsia="en-US"/>
        </w:rPr>
        <w:t xml:space="preserve"> infrastrukture na području aglomeracije na području Delnica, Fužina i Brod Moravice </w:t>
      </w:r>
      <w:r w:rsidR="00BE0486" w:rsidRPr="00732F73">
        <w:rPr>
          <w:lang w:eastAsia="en-US"/>
        </w:rPr>
        <w:t>22</w:t>
      </w:r>
      <w:r w:rsidR="006C561E" w:rsidRPr="00732F73">
        <w:rPr>
          <w:lang w:eastAsia="en-US"/>
        </w:rPr>
        <w:t>.</w:t>
      </w:r>
      <w:r w:rsidR="00BE0486" w:rsidRPr="00732F73">
        <w:rPr>
          <w:lang w:eastAsia="en-US"/>
        </w:rPr>
        <w:t>579</w:t>
      </w:r>
      <w:r w:rsidR="006C561E" w:rsidRPr="00732F73">
        <w:rPr>
          <w:lang w:eastAsia="en-US"/>
        </w:rPr>
        <w:t>.</w:t>
      </w:r>
      <w:r w:rsidR="00BE0486" w:rsidRPr="00732F73">
        <w:rPr>
          <w:lang w:eastAsia="en-US"/>
        </w:rPr>
        <w:t>255</w:t>
      </w:r>
      <w:r w:rsidR="004322D0" w:rsidRPr="00732F73">
        <w:rPr>
          <w:lang w:eastAsia="en-US"/>
        </w:rPr>
        <w:t xml:space="preserve"> </w:t>
      </w:r>
      <w:r w:rsidR="00DE28E6" w:rsidRPr="00732F73">
        <w:rPr>
          <w:lang w:eastAsia="en-US"/>
        </w:rPr>
        <w:t>kn</w:t>
      </w:r>
      <w:r w:rsidR="00BE0486" w:rsidRPr="00732F73">
        <w:rPr>
          <w:lang w:eastAsia="en-US"/>
        </w:rPr>
        <w:t>,</w:t>
      </w:r>
    </w:p>
    <w:p w:rsidR="00BE0486" w:rsidRPr="00732F73" w:rsidRDefault="00BE0486" w:rsidP="00732F73">
      <w:pPr>
        <w:numPr>
          <w:ilvl w:val="0"/>
          <w:numId w:val="8"/>
        </w:numPr>
        <w:jc w:val="both"/>
        <w:rPr>
          <w:lang w:eastAsia="en-US"/>
        </w:rPr>
      </w:pPr>
      <w:r w:rsidRPr="00732F73">
        <w:rPr>
          <w:lang w:eastAsia="en-US"/>
        </w:rPr>
        <w:t>ulaganje u projekte Sanacije klizišta – sufinanciranje troškova sanacije klizišta i odrona nastalih djelovanjem erozija i bujica kojima je ugrožena javna infrastruktura (županijske i nerazvrstane ceste) u iznosu 15.742.393 kn.</w:t>
      </w:r>
    </w:p>
    <w:p w:rsidR="00FD311A" w:rsidRDefault="00FD311A" w:rsidP="00732F73">
      <w:pPr>
        <w:jc w:val="both"/>
        <w:rPr>
          <w:bCs/>
        </w:rPr>
      </w:pPr>
    </w:p>
    <w:p w:rsidR="0074268D" w:rsidRPr="00732F73" w:rsidRDefault="0074268D" w:rsidP="00732F73">
      <w:pPr>
        <w:jc w:val="both"/>
        <w:rPr>
          <w:bCs/>
        </w:rPr>
      </w:pPr>
    </w:p>
    <w:p w:rsidR="008A2DB7" w:rsidRPr="0074268D" w:rsidRDefault="00700385" w:rsidP="0074268D">
      <w:pPr>
        <w:pStyle w:val="Odlomakpopisa"/>
        <w:numPr>
          <w:ilvl w:val="0"/>
          <w:numId w:val="9"/>
        </w:numPr>
        <w:jc w:val="both"/>
        <w:rPr>
          <w:b/>
          <w:bCs/>
        </w:rPr>
      </w:pPr>
      <w:r w:rsidRPr="0074268D">
        <w:rPr>
          <w:b/>
          <w:bCs/>
        </w:rPr>
        <w:t xml:space="preserve">RAČUN FINANCIRANJA </w:t>
      </w:r>
    </w:p>
    <w:p w:rsidR="0074268D" w:rsidRPr="0074268D" w:rsidRDefault="0074268D" w:rsidP="0074268D">
      <w:pPr>
        <w:jc w:val="both"/>
        <w:rPr>
          <w:b/>
          <w:bCs/>
        </w:rPr>
      </w:pPr>
    </w:p>
    <w:p w:rsidR="00700385" w:rsidRPr="00732F73" w:rsidRDefault="00700385" w:rsidP="00732F73">
      <w:pPr>
        <w:jc w:val="both"/>
        <w:rPr>
          <w:lang w:eastAsia="en-US"/>
        </w:rPr>
      </w:pPr>
      <w:r w:rsidRPr="00732F73">
        <w:rPr>
          <w:lang w:eastAsia="en-US"/>
        </w:rPr>
        <w:t xml:space="preserve">Kroz račun financiranja evidentirano je </w:t>
      </w:r>
      <w:r w:rsidR="00943C09" w:rsidRPr="00732F73">
        <w:rPr>
          <w:lang w:eastAsia="en-US"/>
        </w:rPr>
        <w:t>2.355.960 kn primitaka temeljem prodaje dionica Vodogradnje d.d. Varaždin</w:t>
      </w:r>
      <w:r w:rsidR="00943C09" w:rsidRPr="00732F73">
        <w:rPr>
          <w:rFonts w:eastAsia="Calibri"/>
        </w:rPr>
        <w:t xml:space="preserve"> (</w:t>
      </w:r>
      <w:r w:rsidR="00943C09" w:rsidRPr="00732F73">
        <w:rPr>
          <w:lang w:eastAsia="en-US"/>
        </w:rPr>
        <w:t xml:space="preserve">115.900,00 kn), </w:t>
      </w:r>
      <w:proofErr w:type="spellStart"/>
      <w:r w:rsidR="00943C09" w:rsidRPr="00732F73">
        <w:rPr>
          <w:lang w:eastAsia="en-US"/>
        </w:rPr>
        <w:t>Hidroinga</w:t>
      </w:r>
      <w:proofErr w:type="spellEnd"/>
      <w:r w:rsidR="00943C09" w:rsidRPr="00732F73">
        <w:rPr>
          <w:lang w:eastAsia="en-US"/>
        </w:rPr>
        <w:t xml:space="preserve"> d.d. Varaždin (1.560.060,00 kn), te Vodoprivredno-projektnog biroa d.d. iz Zagreba (680.000,00 kn) sukladno Odluci Upravnog vijeća Hrvatskih voda</w:t>
      </w:r>
      <w:r w:rsidRPr="00732F73">
        <w:rPr>
          <w:lang w:eastAsia="en-US"/>
        </w:rPr>
        <w:t xml:space="preserve">, </w:t>
      </w:r>
      <w:r w:rsidR="000B4933" w:rsidRPr="00732F73">
        <w:rPr>
          <w:lang w:eastAsia="en-US"/>
        </w:rPr>
        <w:t xml:space="preserve">i 72.995.100 kn primitaka po osnovi korištenja Zajma CEB-a za financiranje projekata obrane od poplava, </w:t>
      </w:r>
      <w:r w:rsidRPr="00732F73">
        <w:rPr>
          <w:lang w:eastAsia="en-US"/>
        </w:rPr>
        <w:t xml:space="preserve">a </w:t>
      </w:r>
      <w:r w:rsidR="000B4933" w:rsidRPr="00732F73">
        <w:rPr>
          <w:lang w:eastAsia="en-US"/>
        </w:rPr>
        <w:t>429</w:t>
      </w:r>
      <w:r w:rsidR="00D76DA1" w:rsidRPr="00732F73">
        <w:rPr>
          <w:lang w:eastAsia="en-US"/>
        </w:rPr>
        <w:t>.</w:t>
      </w:r>
      <w:r w:rsidR="000B4933" w:rsidRPr="00732F73">
        <w:rPr>
          <w:lang w:eastAsia="en-US"/>
        </w:rPr>
        <w:t>709</w:t>
      </w:r>
      <w:r w:rsidR="00D76DA1" w:rsidRPr="00732F73">
        <w:rPr>
          <w:lang w:eastAsia="en-US"/>
        </w:rPr>
        <w:t>.</w:t>
      </w:r>
      <w:r w:rsidR="000B4933" w:rsidRPr="00732F73">
        <w:rPr>
          <w:lang w:eastAsia="en-US"/>
        </w:rPr>
        <w:t>129</w:t>
      </w:r>
      <w:r w:rsidR="006F77BC" w:rsidRPr="00732F73">
        <w:rPr>
          <w:lang w:eastAsia="en-US"/>
        </w:rPr>
        <w:t xml:space="preserve"> </w:t>
      </w:r>
      <w:r w:rsidRPr="00732F73">
        <w:rPr>
          <w:lang w:eastAsia="en-US"/>
        </w:rPr>
        <w:t>kn izdataka za otplate glavnica po dugoročnim kreditima.</w:t>
      </w:r>
    </w:p>
    <w:p w:rsidR="005F3F48" w:rsidRPr="00732F73" w:rsidRDefault="005F3F48" w:rsidP="00732F73">
      <w:pPr>
        <w:jc w:val="both"/>
        <w:rPr>
          <w:lang w:eastAsia="en-US"/>
        </w:rPr>
      </w:pPr>
    </w:p>
    <w:p w:rsidR="0095714B" w:rsidRPr="00732F73" w:rsidRDefault="0095714B" w:rsidP="00732F73">
      <w:pPr>
        <w:autoSpaceDE w:val="0"/>
        <w:autoSpaceDN w:val="0"/>
        <w:adjustRightInd w:val="0"/>
        <w:jc w:val="both"/>
        <w:rPr>
          <w:lang w:eastAsia="en-US"/>
        </w:rPr>
      </w:pPr>
      <w:r w:rsidRPr="00732F73">
        <w:rPr>
          <w:lang w:eastAsia="en-US"/>
        </w:rPr>
        <w:t xml:space="preserve">Otplate kreditnih obveza – glavnice, izvršene </w:t>
      </w:r>
      <w:r w:rsidR="00D76DA1" w:rsidRPr="00732F73">
        <w:rPr>
          <w:lang w:eastAsia="en-US"/>
        </w:rPr>
        <w:t xml:space="preserve">su </w:t>
      </w:r>
      <w:r w:rsidRPr="00732F73">
        <w:rPr>
          <w:lang w:eastAsia="en-US"/>
        </w:rPr>
        <w:t xml:space="preserve">u iznosu </w:t>
      </w:r>
      <w:r w:rsidR="000B4933" w:rsidRPr="00732F73">
        <w:rPr>
          <w:lang w:eastAsia="en-US"/>
        </w:rPr>
        <w:t>429</w:t>
      </w:r>
      <w:r w:rsidR="00D76DA1" w:rsidRPr="00732F73">
        <w:rPr>
          <w:lang w:eastAsia="en-US"/>
        </w:rPr>
        <w:t>.</w:t>
      </w:r>
      <w:r w:rsidR="000B4933" w:rsidRPr="00732F73">
        <w:rPr>
          <w:lang w:eastAsia="en-US"/>
        </w:rPr>
        <w:t>709</w:t>
      </w:r>
      <w:r w:rsidR="00D76DA1" w:rsidRPr="00732F73">
        <w:rPr>
          <w:lang w:eastAsia="en-US"/>
        </w:rPr>
        <w:t>.</w:t>
      </w:r>
      <w:r w:rsidR="000B4933" w:rsidRPr="00732F73">
        <w:rPr>
          <w:lang w:eastAsia="en-US"/>
        </w:rPr>
        <w:t>129</w:t>
      </w:r>
      <w:r w:rsidR="00A046FF" w:rsidRPr="00732F73">
        <w:rPr>
          <w:lang w:eastAsia="en-US"/>
        </w:rPr>
        <w:t xml:space="preserve"> </w:t>
      </w:r>
      <w:r w:rsidR="006F2A35" w:rsidRPr="00732F73">
        <w:rPr>
          <w:lang w:eastAsia="en-US"/>
        </w:rPr>
        <w:t>kn</w:t>
      </w:r>
      <w:r w:rsidR="000B4933" w:rsidRPr="00732F73">
        <w:rPr>
          <w:lang w:eastAsia="en-US"/>
        </w:rPr>
        <w:t xml:space="preserve"> </w:t>
      </w:r>
      <w:r w:rsidRPr="00732F73">
        <w:rPr>
          <w:lang w:eastAsia="en-US"/>
        </w:rPr>
        <w:t>isplaćeno je po bankama kreditorima kako slijedi:</w:t>
      </w:r>
    </w:p>
    <w:p w:rsidR="00896AB7" w:rsidRPr="00732F73" w:rsidRDefault="0095714B" w:rsidP="00732F73">
      <w:pPr>
        <w:numPr>
          <w:ilvl w:val="0"/>
          <w:numId w:val="7"/>
        </w:numPr>
        <w:jc w:val="both"/>
        <w:rPr>
          <w:lang w:eastAsia="en-US"/>
        </w:rPr>
      </w:pPr>
      <w:r w:rsidRPr="00732F73">
        <w:rPr>
          <w:lang w:eastAsia="en-US"/>
        </w:rPr>
        <w:t xml:space="preserve">Erste &amp; </w:t>
      </w:r>
      <w:proofErr w:type="spellStart"/>
      <w:r w:rsidRPr="00732F73">
        <w:rPr>
          <w:lang w:eastAsia="en-US"/>
        </w:rPr>
        <w:t>Steier</w:t>
      </w:r>
      <w:r w:rsidR="00896AB7" w:rsidRPr="00732F73">
        <w:rPr>
          <w:lang w:eastAsia="en-US"/>
        </w:rPr>
        <w:t>markische</w:t>
      </w:r>
      <w:proofErr w:type="spellEnd"/>
      <w:r w:rsidR="00896AB7" w:rsidRPr="00732F73">
        <w:rPr>
          <w:lang w:eastAsia="en-US"/>
        </w:rPr>
        <w:t xml:space="preserve"> banka </w:t>
      </w:r>
      <w:r w:rsidR="000B4933" w:rsidRPr="00732F73">
        <w:rPr>
          <w:lang w:eastAsia="en-US"/>
        </w:rPr>
        <w:t>176</w:t>
      </w:r>
      <w:r w:rsidR="00D76DA1" w:rsidRPr="00732F73">
        <w:rPr>
          <w:lang w:eastAsia="en-US"/>
        </w:rPr>
        <w:t>.</w:t>
      </w:r>
      <w:r w:rsidR="000B4933" w:rsidRPr="00732F73">
        <w:rPr>
          <w:lang w:eastAsia="en-US"/>
        </w:rPr>
        <w:t>762</w:t>
      </w:r>
      <w:r w:rsidR="00D76DA1" w:rsidRPr="00732F73">
        <w:rPr>
          <w:lang w:eastAsia="en-US"/>
        </w:rPr>
        <w:t>.</w:t>
      </w:r>
      <w:r w:rsidR="000B4933" w:rsidRPr="00732F73">
        <w:rPr>
          <w:lang w:eastAsia="en-US"/>
        </w:rPr>
        <w:t>482</w:t>
      </w:r>
      <w:r w:rsidR="00155E55" w:rsidRPr="00732F73">
        <w:rPr>
          <w:lang w:eastAsia="en-US"/>
        </w:rPr>
        <w:t xml:space="preserve"> </w:t>
      </w:r>
      <w:r w:rsidR="00896AB7" w:rsidRPr="00732F73">
        <w:rPr>
          <w:lang w:eastAsia="en-US"/>
        </w:rPr>
        <w:t>kn,</w:t>
      </w:r>
    </w:p>
    <w:p w:rsidR="000B4933" w:rsidRDefault="00A61376" w:rsidP="00732F73">
      <w:pPr>
        <w:numPr>
          <w:ilvl w:val="0"/>
          <w:numId w:val="7"/>
        </w:numPr>
        <w:jc w:val="both"/>
        <w:rPr>
          <w:lang w:eastAsia="en-US"/>
        </w:rPr>
      </w:pPr>
      <w:r w:rsidRPr="00732F73">
        <w:rPr>
          <w:lang w:eastAsia="en-US"/>
        </w:rPr>
        <w:t>HBOR</w:t>
      </w:r>
      <w:r w:rsidR="00585B9C" w:rsidRPr="00732F73">
        <w:rPr>
          <w:lang w:eastAsia="en-US"/>
        </w:rPr>
        <w:t xml:space="preserve"> </w:t>
      </w:r>
      <w:r w:rsidR="000B4933" w:rsidRPr="00732F73">
        <w:rPr>
          <w:lang w:eastAsia="en-US"/>
        </w:rPr>
        <w:t>24</w:t>
      </w:r>
      <w:r w:rsidR="00D76DA1" w:rsidRPr="00732F73">
        <w:rPr>
          <w:lang w:eastAsia="en-US"/>
        </w:rPr>
        <w:t>.388.3</w:t>
      </w:r>
      <w:r w:rsidR="000B4933" w:rsidRPr="00732F73">
        <w:rPr>
          <w:lang w:eastAsia="en-US"/>
        </w:rPr>
        <w:t>64</w:t>
      </w:r>
      <w:r w:rsidR="009B3124" w:rsidRPr="00732F73">
        <w:rPr>
          <w:lang w:eastAsia="en-US"/>
        </w:rPr>
        <w:t xml:space="preserve"> </w:t>
      </w:r>
      <w:r w:rsidR="00896AB7" w:rsidRPr="00732F73">
        <w:rPr>
          <w:lang w:eastAsia="en-US"/>
        </w:rPr>
        <w:t>kn</w:t>
      </w:r>
      <w:r w:rsidR="000B4933" w:rsidRPr="00732F73">
        <w:rPr>
          <w:lang w:eastAsia="en-US"/>
        </w:rPr>
        <w:t>.</w:t>
      </w:r>
    </w:p>
    <w:p w:rsidR="005F3F48" w:rsidRDefault="00D76DA1" w:rsidP="00732F73">
      <w:pPr>
        <w:jc w:val="both"/>
        <w:rPr>
          <w:lang w:eastAsia="en-US"/>
        </w:rPr>
      </w:pPr>
      <w:r w:rsidRPr="00732F73">
        <w:rPr>
          <w:lang w:eastAsia="en-US"/>
        </w:rPr>
        <w:t>U 2019. godin</w:t>
      </w:r>
      <w:r w:rsidR="000B4933" w:rsidRPr="00732F73">
        <w:rPr>
          <w:lang w:eastAsia="en-US"/>
        </w:rPr>
        <w:t>i</w:t>
      </w:r>
      <w:r w:rsidR="0095714B" w:rsidRPr="00732F73">
        <w:rPr>
          <w:lang w:eastAsia="en-US"/>
        </w:rPr>
        <w:t xml:space="preserve"> izvršeno</w:t>
      </w:r>
      <w:r w:rsidR="00343E48" w:rsidRPr="00732F73">
        <w:rPr>
          <w:lang w:eastAsia="en-US"/>
        </w:rPr>
        <w:t xml:space="preserve"> je</w:t>
      </w:r>
      <w:r w:rsidR="0095714B" w:rsidRPr="00732F73">
        <w:rPr>
          <w:lang w:eastAsia="en-US"/>
        </w:rPr>
        <w:t xml:space="preserve"> </w:t>
      </w:r>
      <w:r w:rsidR="009F45F2" w:rsidRPr="00732F73">
        <w:rPr>
          <w:lang w:eastAsia="en-US"/>
        </w:rPr>
        <w:t xml:space="preserve">i </w:t>
      </w:r>
      <w:r w:rsidR="0095714B" w:rsidRPr="00732F73">
        <w:rPr>
          <w:lang w:eastAsia="en-US"/>
        </w:rPr>
        <w:t xml:space="preserve">plaćanje Ministarstvu financija za otplatu glavnice Zajma </w:t>
      </w:r>
      <w:r w:rsidR="006F2A35" w:rsidRPr="00732F73">
        <w:rPr>
          <w:lang w:eastAsia="en-US"/>
        </w:rPr>
        <w:t>IBRD za Projekt Unutarnje vode i</w:t>
      </w:r>
      <w:r w:rsidR="0095714B" w:rsidRPr="00732F73">
        <w:rPr>
          <w:lang w:eastAsia="en-US"/>
        </w:rPr>
        <w:t xml:space="preserve"> Projekt Jadran II faza </w:t>
      </w:r>
      <w:r w:rsidR="00036DB3" w:rsidRPr="00732F73">
        <w:rPr>
          <w:lang w:eastAsia="en-US"/>
        </w:rPr>
        <w:t>82</w:t>
      </w:r>
      <w:r w:rsidRPr="00732F73">
        <w:rPr>
          <w:lang w:eastAsia="en-US"/>
        </w:rPr>
        <w:t>.</w:t>
      </w:r>
      <w:r w:rsidR="00036DB3" w:rsidRPr="00732F73">
        <w:rPr>
          <w:lang w:eastAsia="en-US"/>
        </w:rPr>
        <w:t>591</w:t>
      </w:r>
      <w:r w:rsidRPr="00732F73">
        <w:rPr>
          <w:lang w:eastAsia="en-US"/>
        </w:rPr>
        <w:t>.</w:t>
      </w:r>
      <w:r w:rsidR="00036DB3" w:rsidRPr="00732F73">
        <w:rPr>
          <w:lang w:eastAsia="en-US"/>
        </w:rPr>
        <w:t>342</w:t>
      </w:r>
      <w:r w:rsidR="000C0BBA" w:rsidRPr="00732F73">
        <w:rPr>
          <w:lang w:eastAsia="en-US"/>
        </w:rPr>
        <w:t xml:space="preserve"> </w:t>
      </w:r>
      <w:r w:rsidRPr="00732F73">
        <w:rPr>
          <w:lang w:eastAsia="en-US"/>
        </w:rPr>
        <w:t xml:space="preserve">kn, </w:t>
      </w:r>
      <w:r w:rsidR="0095714B" w:rsidRPr="00732F73">
        <w:rPr>
          <w:lang w:eastAsia="en-US"/>
        </w:rPr>
        <w:t>za EIB i CEB</w:t>
      </w:r>
      <w:r w:rsidR="00343E48" w:rsidRPr="00732F73">
        <w:rPr>
          <w:lang w:eastAsia="en-US"/>
        </w:rPr>
        <w:t xml:space="preserve"> (projekti </w:t>
      </w:r>
      <w:proofErr w:type="spellStart"/>
      <w:r w:rsidR="00343E48" w:rsidRPr="00732F73">
        <w:rPr>
          <w:lang w:eastAsia="en-US"/>
        </w:rPr>
        <w:t>vodnokomunalne</w:t>
      </w:r>
      <w:proofErr w:type="spellEnd"/>
      <w:r w:rsidR="00343E48" w:rsidRPr="00732F73">
        <w:rPr>
          <w:lang w:eastAsia="en-US"/>
        </w:rPr>
        <w:t xml:space="preserve"> infrastrukture)</w:t>
      </w:r>
      <w:r w:rsidR="0095714B" w:rsidRPr="00732F73">
        <w:rPr>
          <w:lang w:eastAsia="en-US"/>
        </w:rPr>
        <w:t xml:space="preserve"> </w:t>
      </w:r>
      <w:r w:rsidR="00213A13" w:rsidRPr="00732F73">
        <w:rPr>
          <w:lang w:eastAsia="en-US"/>
        </w:rPr>
        <w:t>136</w:t>
      </w:r>
      <w:r w:rsidRPr="00732F73">
        <w:rPr>
          <w:lang w:eastAsia="en-US"/>
        </w:rPr>
        <w:t>.</w:t>
      </w:r>
      <w:r w:rsidR="00213A13" w:rsidRPr="00732F73">
        <w:rPr>
          <w:lang w:eastAsia="en-US"/>
        </w:rPr>
        <w:t>596</w:t>
      </w:r>
      <w:r w:rsidRPr="00732F73">
        <w:rPr>
          <w:lang w:eastAsia="en-US"/>
        </w:rPr>
        <w:t>.</w:t>
      </w:r>
      <w:r w:rsidR="00213A13" w:rsidRPr="00732F73">
        <w:rPr>
          <w:lang w:eastAsia="en-US"/>
        </w:rPr>
        <w:t>987</w:t>
      </w:r>
      <w:r w:rsidR="000C0BBA" w:rsidRPr="00732F73">
        <w:rPr>
          <w:lang w:eastAsia="en-US"/>
        </w:rPr>
        <w:t xml:space="preserve"> </w:t>
      </w:r>
      <w:r w:rsidR="0095714B" w:rsidRPr="00732F73">
        <w:rPr>
          <w:lang w:eastAsia="en-US"/>
        </w:rPr>
        <w:t>kn</w:t>
      </w:r>
      <w:r w:rsidRPr="00732F73">
        <w:rPr>
          <w:lang w:eastAsia="en-US"/>
        </w:rPr>
        <w:t xml:space="preserve"> i CEB – projekti obrane od poplave </w:t>
      </w:r>
      <w:r w:rsidR="00213A13" w:rsidRPr="00732F73">
        <w:rPr>
          <w:lang w:eastAsia="en-US"/>
        </w:rPr>
        <w:t>9</w:t>
      </w:r>
      <w:r w:rsidRPr="00732F73">
        <w:rPr>
          <w:lang w:eastAsia="en-US"/>
        </w:rPr>
        <w:t>.</w:t>
      </w:r>
      <w:r w:rsidR="00213A13" w:rsidRPr="00732F73">
        <w:rPr>
          <w:lang w:eastAsia="en-US"/>
        </w:rPr>
        <w:t>369</w:t>
      </w:r>
      <w:r w:rsidRPr="00732F73">
        <w:rPr>
          <w:lang w:eastAsia="en-US"/>
        </w:rPr>
        <w:t>.</w:t>
      </w:r>
      <w:r w:rsidR="00213A13" w:rsidRPr="00732F73">
        <w:rPr>
          <w:lang w:eastAsia="en-US"/>
        </w:rPr>
        <w:t>954</w:t>
      </w:r>
      <w:r w:rsidR="0095714B" w:rsidRPr="00732F73">
        <w:rPr>
          <w:lang w:eastAsia="en-US"/>
        </w:rPr>
        <w:t>.</w:t>
      </w:r>
    </w:p>
    <w:p w:rsidR="00CD5093" w:rsidRPr="00732F73" w:rsidRDefault="00CD5093" w:rsidP="00732F73">
      <w:pPr>
        <w:jc w:val="both"/>
        <w:rPr>
          <w:lang w:eastAsia="en-US"/>
        </w:rPr>
      </w:pPr>
      <w:bookmarkStart w:id="0" w:name="_GoBack"/>
      <w:bookmarkEnd w:id="0"/>
    </w:p>
    <w:p w:rsidR="00A046FF" w:rsidRPr="00732F73" w:rsidRDefault="00A046FF" w:rsidP="00732F73">
      <w:pPr>
        <w:jc w:val="both"/>
        <w:rPr>
          <w:lang w:eastAsia="en-US"/>
        </w:rPr>
      </w:pPr>
      <w:r w:rsidRPr="00732F73">
        <w:rPr>
          <w:lang w:eastAsia="en-US"/>
        </w:rPr>
        <w:t>U</w:t>
      </w:r>
      <w:r w:rsidR="00585B9C" w:rsidRPr="00732F73">
        <w:rPr>
          <w:lang w:eastAsia="en-US"/>
        </w:rPr>
        <w:t xml:space="preserve">kupno je otplaćeno </w:t>
      </w:r>
      <w:r w:rsidR="004A7458" w:rsidRPr="00732F73">
        <w:rPr>
          <w:lang w:eastAsia="en-US"/>
        </w:rPr>
        <w:t>25</w:t>
      </w:r>
      <w:r w:rsidR="00D76DA1" w:rsidRPr="00732F73">
        <w:rPr>
          <w:lang w:eastAsia="en-US"/>
        </w:rPr>
        <w:t>.</w:t>
      </w:r>
      <w:r w:rsidR="004A7458" w:rsidRPr="00732F73">
        <w:rPr>
          <w:lang w:eastAsia="en-US"/>
        </w:rPr>
        <w:t>423</w:t>
      </w:r>
      <w:r w:rsidR="00D76DA1" w:rsidRPr="00732F73">
        <w:rPr>
          <w:lang w:eastAsia="en-US"/>
        </w:rPr>
        <w:t>.</w:t>
      </w:r>
      <w:r w:rsidR="004A7458" w:rsidRPr="00732F73">
        <w:rPr>
          <w:lang w:eastAsia="en-US"/>
        </w:rPr>
        <w:t>904</w:t>
      </w:r>
      <w:r w:rsidRPr="00732F73">
        <w:rPr>
          <w:lang w:eastAsia="en-US"/>
        </w:rPr>
        <w:t xml:space="preserve"> kn kamata.</w:t>
      </w:r>
    </w:p>
    <w:p w:rsidR="00FD311A" w:rsidRPr="00732F73" w:rsidRDefault="00FD311A" w:rsidP="00732F73">
      <w:pPr>
        <w:jc w:val="both"/>
        <w:rPr>
          <w:strike/>
          <w:lang w:eastAsia="en-US"/>
        </w:rPr>
      </w:pPr>
    </w:p>
    <w:p w:rsidR="008C604C" w:rsidRPr="00732F73" w:rsidRDefault="008C604C" w:rsidP="00732F73">
      <w:pPr>
        <w:jc w:val="both"/>
        <w:rPr>
          <w:strike/>
          <w:lang w:eastAsia="en-US"/>
        </w:rPr>
      </w:pPr>
    </w:p>
    <w:p w:rsidR="00700385" w:rsidRPr="003F2233" w:rsidRDefault="00700385" w:rsidP="003F2233">
      <w:pPr>
        <w:pStyle w:val="Odlomakpopisa"/>
        <w:numPr>
          <w:ilvl w:val="0"/>
          <w:numId w:val="9"/>
        </w:numPr>
        <w:jc w:val="both"/>
        <w:rPr>
          <w:b/>
          <w:bCs/>
        </w:rPr>
      </w:pPr>
      <w:r w:rsidRPr="003F2233">
        <w:rPr>
          <w:b/>
          <w:bCs/>
        </w:rPr>
        <w:t>STANJE NENAPLAĆENIH POTRAŽIVANJA</w:t>
      </w:r>
    </w:p>
    <w:p w:rsidR="008A2DB7" w:rsidRPr="00732F73" w:rsidRDefault="008A2DB7" w:rsidP="00732F73">
      <w:pPr>
        <w:jc w:val="both"/>
        <w:rPr>
          <w:bCs/>
        </w:rPr>
      </w:pPr>
    </w:p>
    <w:p w:rsidR="00700385" w:rsidRDefault="00700385" w:rsidP="00732F73">
      <w:pPr>
        <w:jc w:val="both"/>
        <w:rPr>
          <w:lang w:eastAsia="en-US"/>
        </w:rPr>
      </w:pPr>
      <w:r w:rsidRPr="00732F73">
        <w:rPr>
          <w:lang w:eastAsia="en-US"/>
        </w:rPr>
        <w:t xml:space="preserve">Ukupna potraživanja za prihode poslovanja </w:t>
      </w:r>
      <w:r w:rsidR="007C369A" w:rsidRPr="00732F73">
        <w:rPr>
          <w:lang w:eastAsia="en-US"/>
        </w:rPr>
        <w:t xml:space="preserve">Hrvatskih voda na dan </w:t>
      </w:r>
      <w:r w:rsidR="0084739E" w:rsidRPr="00732F73">
        <w:rPr>
          <w:lang w:eastAsia="en-US"/>
        </w:rPr>
        <w:t>3</w:t>
      </w:r>
      <w:r w:rsidR="003C1B97" w:rsidRPr="00732F73">
        <w:rPr>
          <w:lang w:eastAsia="en-US"/>
        </w:rPr>
        <w:t>1</w:t>
      </w:r>
      <w:r w:rsidR="0084739E" w:rsidRPr="00732F73">
        <w:rPr>
          <w:lang w:eastAsia="en-US"/>
        </w:rPr>
        <w:t>.</w:t>
      </w:r>
      <w:r w:rsidR="003C1B97" w:rsidRPr="00732F73">
        <w:rPr>
          <w:lang w:eastAsia="en-US"/>
        </w:rPr>
        <w:t>12</w:t>
      </w:r>
      <w:r w:rsidR="0084739E" w:rsidRPr="00732F73">
        <w:rPr>
          <w:lang w:eastAsia="en-US"/>
        </w:rPr>
        <w:t>.2019</w:t>
      </w:r>
      <w:r w:rsidR="007C369A" w:rsidRPr="00732F73">
        <w:rPr>
          <w:lang w:eastAsia="en-US"/>
        </w:rPr>
        <w:t xml:space="preserve">. iznose </w:t>
      </w:r>
      <w:r w:rsidR="00E51558" w:rsidRPr="00732F73">
        <w:rPr>
          <w:lang w:eastAsia="en-US"/>
        </w:rPr>
        <w:t>269</w:t>
      </w:r>
      <w:r w:rsidR="0084739E" w:rsidRPr="00732F73">
        <w:rPr>
          <w:lang w:eastAsia="en-US"/>
        </w:rPr>
        <w:t>.</w:t>
      </w:r>
      <w:r w:rsidR="00E51558" w:rsidRPr="00732F73">
        <w:rPr>
          <w:lang w:eastAsia="en-US"/>
        </w:rPr>
        <w:t>457</w:t>
      </w:r>
      <w:r w:rsidR="0084739E" w:rsidRPr="00732F73">
        <w:rPr>
          <w:lang w:eastAsia="en-US"/>
        </w:rPr>
        <w:t>.</w:t>
      </w:r>
      <w:r w:rsidR="00E51558" w:rsidRPr="00732F73">
        <w:rPr>
          <w:lang w:eastAsia="en-US"/>
        </w:rPr>
        <w:t>142</w:t>
      </w:r>
      <w:r w:rsidRPr="00732F73">
        <w:rPr>
          <w:lang w:eastAsia="en-US"/>
        </w:rPr>
        <w:t xml:space="preserve"> kn</w:t>
      </w:r>
      <w:r w:rsidR="00037B37" w:rsidRPr="00732F73">
        <w:rPr>
          <w:lang w:eastAsia="en-US"/>
        </w:rPr>
        <w:t>, manja su u odnosu na</w:t>
      </w:r>
      <w:r w:rsidR="006671ED" w:rsidRPr="00732F73">
        <w:rPr>
          <w:lang w:eastAsia="en-US"/>
        </w:rPr>
        <w:t xml:space="preserve"> </w:t>
      </w:r>
      <w:r w:rsidR="00037B37" w:rsidRPr="00732F73">
        <w:rPr>
          <w:lang w:eastAsia="en-US"/>
        </w:rPr>
        <w:t>2018. godin</w:t>
      </w:r>
      <w:r w:rsidR="006671ED" w:rsidRPr="00732F73">
        <w:rPr>
          <w:lang w:eastAsia="en-US"/>
        </w:rPr>
        <w:t>u</w:t>
      </w:r>
      <w:r w:rsidR="00037B37" w:rsidRPr="00732F73">
        <w:rPr>
          <w:lang w:eastAsia="en-US"/>
        </w:rPr>
        <w:t xml:space="preserve"> kada su iznosila 358.099.467 kn, od čega dospjela potraživanja po toj osnovi iznose 171.358.856 kn.</w:t>
      </w:r>
      <w:r w:rsidR="00B12D20" w:rsidRPr="00732F73">
        <w:rPr>
          <w:lang w:eastAsia="en-US"/>
        </w:rPr>
        <w:t xml:space="preserve"> Sastoje se od potraživanja za otplatu IBRD Zajma – Jadran II od javnih isporučitelja vodnih usluga</w:t>
      </w:r>
      <w:r w:rsidR="00037B37" w:rsidRPr="00732F73">
        <w:rPr>
          <w:lang w:eastAsia="en-US"/>
        </w:rPr>
        <w:t xml:space="preserve"> u iznosu od 95.640.248 kn</w:t>
      </w:r>
      <w:r w:rsidR="006671ED" w:rsidRPr="00732F73">
        <w:rPr>
          <w:lang w:eastAsia="en-US"/>
        </w:rPr>
        <w:t>,</w:t>
      </w:r>
      <w:r w:rsidR="00037B37" w:rsidRPr="00732F73">
        <w:rPr>
          <w:lang w:eastAsia="en-US"/>
        </w:rPr>
        <w:t xml:space="preserve"> potraživanja za prihode od imovine 4.232.</w:t>
      </w:r>
      <w:r w:rsidR="009D0194" w:rsidRPr="00732F73">
        <w:rPr>
          <w:lang w:eastAsia="en-US"/>
        </w:rPr>
        <w:t>32</w:t>
      </w:r>
      <w:r w:rsidR="00DD3EFB" w:rsidRPr="00732F73">
        <w:rPr>
          <w:lang w:eastAsia="en-US"/>
        </w:rPr>
        <w:t xml:space="preserve">0 kn, </w:t>
      </w:r>
      <w:r w:rsidR="00037B37" w:rsidRPr="00732F73">
        <w:rPr>
          <w:lang w:eastAsia="en-US"/>
        </w:rPr>
        <w:t xml:space="preserve">potraživanja od vodnih naknada </w:t>
      </w:r>
      <w:r w:rsidR="00DD3EFB" w:rsidRPr="00732F73">
        <w:rPr>
          <w:lang w:eastAsia="en-US"/>
        </w:rPr>
        <w:t>(</w:t>
      </w:r>
      <w:r w:rsidR="00037B37" w:rsidRPr="00732F73">
        <w:rPr>
          <w:lang w:eastAsia="en-US"/>
        </w:rPr>
        <w:t>koje sukladno Zakonu o financiranju vodnoga gospodarstva obračunavaju i naplaćuju Hrvatske vode izravno i putem pravnih osoba koje obavljaju vodoopskrbnu djelatnost i jedinica lokalne samouprave koje obavljaju poslove naplate komunalne naknade i uz to naplaćuju naknadu za uređenje voda</w:t>
      </w:r>
      <w:r w:rsidR="00DD3EFB" w:rsidRPr="00732F73">
        <w:rPr>
          <w:lang w:eastAsia="en-US"/>
        </w:rPr>
        <w:t>)</w:t>
      </w:r>
      <w:r w:rsidR="006671ED" w:rsidRPr="00732F73">
        <w:rPr>
          <w:lang w:eastAsia="en-US"/>
        </w:rPr>
        <w:t xml:space="preserve"> u ukupnom iznosu</w:t>
      </w:r>
      <w:r w:rsidR="00DD3EFB" w:rsidRPr="00732F73">
        <w:rPr>
          <w:lang w:eastAsia="en-US"/>
        </w:rPr>
        <w:t xml:space="preserve"> 277.205.759 kn</w:t>
      </w:r>
      <w:r w:rsidR="00037B37" w:rsidRPr="00732F73">
        <w:rPr>
          <w:lang w:eastAsia="en-US"/>
        </w:rPr>
        <w:t>,</w:t>
      </w:r>
      <w:r w:rsidR="00C3574E" w:rsidRPr="00732F73">
        <w:rPr>
          <w:lang w:eastAsia="en-US"/>
        </w:rPr>
        <w:t xml:space="preserve"> i osta</w:t>
      </w:r>
      <w:r w:rsidR="007C10F9" w:rsidRPr="00732F73">
        <w:rPr>
          <w:lang w:eastAsia="en-US"/>
        </w:rPr>
        <w:t>l</w:t>
      </w:r>
      <w:r w:rsidR="00C3574E" w:rsidRPr="00732F73">
        <w:rPr>
          <w:lang w:eastAsia="en-US"/>
        </w:rPr>
        <w:t>ih nespomenutih</w:t>
      </w:r>
      <w:r w:rsidR="00476DFE" w:rsidRPr="00732F73">
        <w:rPr>
          <w:lang w:eastAsia="en-US"/>
        </w:rPr>
        <w:t xml:space="preserve"> potraživanja 508.006 kn, </w:t>
      </w:r>
      <w:r w:rsidR="00037B37" w:rsidRPr="00732F73">
        <w:rPr>
          <w:lang w:eastAsia="en-US"/>
        </w:rPr>
        <w:t>te ispravka vrijednosti potraživanja u iznosu od 10</w:t>
      </w:r>
      <w:r w:rsidR="00B64162" w:rsidRPr="00732F73">
        <w:rPr>
          <w:lang w:eastAsia="en-US"/>
        </w:rPr>
        <w:t>8</w:t>
      </w:r>
      <w:r w:rsidR="00037B37" w:rsidRPr="00732F73">
        <w:rPr>
          <w:lang w:eastAsia="en-US"/>
        </w:rPr>
        <w:t>.</w:t>
      </w:r>
      <w:r w:rsidR="00B64162" w:rsidRPr="00732F73">
        <w:rPr>
          <w:lang w:eastAsia="en-US"/>
        </w:rPr>
        <w:t>129</w:t>
      </w:r>
      <w:r w:rsidR="00037B37" w:rsidRPr="00732F73">
        <w:rPr>
          <w:lang w:eastAsia="en-US"/>
        </w:rPr>
        <w:t>.</w:t>
      </w:r>
      <w:r w:rsidR="00B64162" w:rsidRPr="00732F73">
        <w:rPr>
          <w:lang w:eastAsia="en-US"/>
        </w:rPr>
        <w:t>191</w:t>
      </w:r>
      <w:r w:rsidR="00037B37" w:rsidRPr="00732F73">
        <w:rPr>
          <w:lang w:eastAsia="en-US"/>
        </w:rPr>
        <w:t xml:space="preserve"> kn</w:t>
      </w:r>
      <w:r w:rsidR="009A66DA" w:rsidRPr="00732F73">
        <w:rPr>
          <w:color w:val="FF0000"/>
          <w:lang w:eastAsia="en-US"/>
        </w:rPr>
        <w:t xml:space="preserve"> </w:t>
      </w:r>
      <w:r w:rsidR="009A66DA" w:rsidRPr="00732F73">
        <w:rPr>
          <w:lang w:eastAsia="en-US"/>
        </w:rPr>
        <w:t>sukladno Pravilniku o izmjenama i dopunama pravilnika o proračunskom računovodstvu i računskom planu</w:t>
      </w:r>
      <w:r w:rsidR="008C40AA" w:rsidRPr="00732F73">
        <w:rPr>
          <w:lang w:eastAsia="en-US"/>
        </w:rPr>
        <w:t>.</w:t>
      </w:r>
      <w:r w:rsidR="008C40AA" w:rsidRPr="00732F73">
        <w:rPr>
          <w:color w:val="FF0000"/>
          <w:lang w:eastAsia="en-US"/>
        </w:rPr>
        <w:t xml:space="preserve"> </w:t>
      </w:r>
      <w:r w:rsidRPr="00732F73">
        <w:rPr>
          <w:lang w:eastAsia="en-US"/>
        </w:rPr>
        <w:t xml:space="preserve">Smanjenje je </w:t>
      </w:r>
      <w:r w:rsidR="004C7A6A" w:rsidRPr="00732F73">
        <w:rPr>
          <w:lang w:eastAsia="en-US"/>
        </w:rPr>
        <w:t>prvenstveno i</w:t>
      </w:r>
      <w:r w:rsidR="0084739E" w:rsidRPr="00732F73">
        <w:rPr>
          <w:lang w:eastAsia="en-US"/>
        </w:rPr>
        <w:t xml:space="preserve"> odraz smanjenja izdanog broja rješenja vodnog doprinosa za legalizaciju objekata u odn</w:t>
      </w:r>
      <w:r w:rsidR="00FD3F0F" w:rsidRPr="00732F73">
        <w:rPr>
          <w:lang w:eastAsia="en-US"/>
        </w:rPr>
        <w:t xml:space="preserve">osu na prošlogodišnje razdoblje, koje je </w:t>
      </w:r>
      <w:r w:rsidR="0084739E" w:rsidRPr="00732F73">
        <w:rPr>
          <w:lang w:eastAsia="en-US"/>
        </w:rPr>
        <w:t>ujedno je i odraz u smanjenju dospjelih potraživanja</w:t>
      </w:r>
      <w:r w:rsidRPr="00732F73">
        <w:rPr>
          <w:lang w:eastAsia="en-US"/>
        </w:rPr>
        <w:t>.</w:t>
      </w:r>
    </w:p>
    <w:p w:rsidR="005E410E" w:rsidRPr="00732F73" w:rsidRDefault="005E410E" w:rsidP="00732F73">
      <w:pPr>
        <w:jc w:val="both"/>
        <w:rPr>
          <w:lang w:eastAsia="en-US"/>
        </w:rPr>
      </w:pPr>
    </w:p>
    <w:p w:rsidR="008A2DB7" w:rsidRPr="003F2233" w:rsidRDefault="00700385" w:rsidP="003F2233">
      <w:pPr>
        <w:pStyle w:val="Odlomakpopisa"/>
        <w:numPr>
          <w:ilvl w:val="0"/>
          <w:numId w:val="9"/>
        </w:numPr>
        <w:jc w:val="both"/>
        <w:rPr>
          <w:b/>
          <w:bCs/>
        </w:rPr>
      </w:pPr>
      <w:r w:rsidRPr="00732F73">
        <w:rPr>
          <w:b/>
          <w:bCs/>
        </w:rPr>
        <w:lastRenderedPageBreak/>
        <w:t xml:space="preserve">STANJE NEPODMIRENIH DOSPJELIH OBVEZA </w:t>
      </w:r>
    </w:p>
    <w:p w:rsidR="008A2DB7" w:rsidRPr="00732F73" w:rsidRDefault="008A2DB7" w:rsidP="00732F73">
      <w:pPr>
        <w:jc w:val="both"/>
        <w:rPr>
          <w:bCs/>
        </w:rPr>
      </w:pPr>
    </w:p>
    <w:p w:rsidR="00700385" w:rsidRPr="00732F73" w:rsidRDefault="00700385" w:rsidP="00732F73">
      <w:pPr>
        <w:jc w:val="both"/>
        <w:rPr>
          <w:color w:val="FF0000"/>
          <w:lang w:eastAsia="en-US"/>
        </w:rPr>
      </w:pPr>
      <w:r w:rsidRPr="00732F73">
        <w:rPr>
          <w:lang w:eastAsia="en-US"/>
        </w:rPr>
        <w:t>Stanje duga /k</w:t>
      </w:r>
      <w:r w:rsidR="00221847" w:rsidRPr="00732F73">
        <w:rPr>
          <w:lang w:eastAsia="en-US"/>
        </w:rPr>
        <w:t xml:space="preserve">reditne obveze na dan </w:t>
      </w:r>
      <w:r w:rsidR="005E410E" w:rsidRPr="00732F73">
        <w:rPr>
          <w:lang w:eastAsia="en-US"/>
        </w:rPr>
        <w:t>3</w:t>
      </w:r>
      <w:r w:rsidR="00781E00" w:rsidRPr="00732F73">
        <w:rPr>
          <w:lang w:eastAsia="en-US"/>
        </w:rPr>
        <w:t>1</w:t>
      </w:r>
      <w:r w:rsidR="005E410E" w:rsidRPr="00732F73">
        <w:rPr>
          <w:lang w:eastAsia="en-US"/>
        </w:rPr>
        <w:t>.</w:t>
      </w:r>
      <w:r w:rsidR="00781E00" w:rsidRPr="00732F73">
        <w:rPr>
          <w:lang w:eastAsia="en-US"/>
        </w:rPr>
        <w:t>12.</w:t>
      </w:r>
      <w:r w:rsidR="005E410E" w:rsidRPr="00732F73">
        <w:rPr>
          <w:lang w:eastAsia="en-US"/>
        </w:rPr>
        <w:t>2019</w:t>
      </w:r>
      <w:r w:rsidR="00221847" w:rsidRPr="00732F73">
        <w:rPr>
          <w:lang w:eastAsia="en-US"/>
        </w:rPr>
        <w:t>. godine iznose 1.</w:t>
      </w:r>
      <w:r w:rsidR="00781E00" w:rsidRPr="00732F73">
        <w:rPr>
          <w:lang w:eastAsia="en-US"/>
        </w:rPr>
        <w:t>555</w:t>
      </w:r>
      <w:r w:rsidR="005E410E" w:rsidRPr="00732F73">
        <w:rPr>
          <w:lang w:eastAsia="en-US"/>
        </w:rPr>
        <w:t>.</w:t>
      </w:r>
      <w:r w:rsidR="00781E00" w:rsidRPr="00732F73">
        <w:rPr>
          <w:lang w:eastAsia="en-US"/>
        </w:rPr>
        <w:t>322</w:t>
      </w:r>
      <w:r w:rsidR="005E410E" w:rsidRPr="00732F73">
        <w:rPr>
          <w:lang w:eastAsia="en-US"/>
        </w:rPr>
        <w:t>.</w:t>
      </w:r>
      <w:r w:rsidR="00781E00" w:rsidRPr="00732F73">
        <w:rPr>
          <w:lang w:eastAsia="en-US"/>
        </w:rPr>
        <w:t>735</w:t>
      </w:r>
      <w:r w:rsidR="00744808" w:rsidRPr="00732F73">
        <w:rPr>
          <w:lang w:eastAsia="en-US"/>
        </w:rPr>
        <w:t xml:space="preserve"> kn i</w:t>
      </w:r>
      <w:r w:rsidRPr="00732F73">
        <w:rPr>
          <w:lang w:eastAsia="en-US"/>
        </w:rPr>
        <w:t xml:space="preserve"> u odnosu na isto razdoblje prošle godine manje </w:t>
      </w:r>
      <w:r w:rsidR="001F4E02" w:rsidRPr="00732F73">
        <w:rPr>
          <w:lang w:eastAsia="en-US"/>
        </w:rPr>
        <w:t xml:space="preserve">su za </w:t>
      </w:r>
      <w:r w:rsidR="00781E00" w:rsidRPr="00732F73">
        <w:rPr>
          <w:lang w:eastAsia="en-US"/>
        </w:rPr>
        <w:t>18</w:t>
      </w:r>
      <w:r w:rsidR="001F4E02" w:rsidRPr="00732F73">
        <w:rPr>
          <w:lang w:eastAsia="en-US"/>
        </w:rPr>
        <w:t xml:space="preserve">% kada su iznosile </w:t>
      </w:r>
      <w:r w:rsidR="00781E00" w:rsidRPr="00732F73">
        <w:rPr>
          <w:lang w:eastAsia="en-US"/>
        </w:rPr>
        <w:t>1</w:t>
      </w:r>
      <w:r w:rsidR="001F4E02" w:rsidRPr="00732F73">
        <w:rPr>
          <w:lang w:eastAsia="en-US"/>
        </w:rPr>
        <w:t>.</w:t>
      </w:r>
      <w:r w:rsidR="00781E00" w:rsidRPr="00732F73">
        <w:rPr>
          <w:lang w:eastAsia="en-US"/>
        </w:rPr>
        <w:t>908</w:t>
      </w:r>
      <w:r w:rsidR="005E410E" w:rsidRPr="00732F73">
        <w:rPr>
          <w:lang w:eastAsia="en-US"/>
        </w:rPr>
        <w:t>.</w:t>
      </w:r>
      <w:r w:rsidR="00781E00" w:rsidRPr="00732F73">
        <w:rPr>
          <w:lang w:eastAsia="en-US"/>
        </w:rPr>
        <w:t>167</w:t>
      </w:r>
      <w:r w:rsidR="005E410E" w:rsidRPr="00732F73">
        <w:rPr>
          <w:lang w:eastAsia="en-US"/>
        </w:rPr>
        <w:t>.</w:t>
      </w:r>
      <w:r w:rsidR="00781E00" w:rsidRPr="00732F73">
        <w:rPr>
          <w:lang w:eastAsia="en-US"/>
        </w:rPr>
        <w:t>822</w:t>
      </w:r>
      <w:r w:rsidRPr="00732F73">
        <w:rPr>
          <w:lang w:eastAsia="en-US"/>
        </w:rPr>
        <w:t xml:space="preserve"> kn. Zaduživanje se provodi uz suglasnost Vlade RH, isključivo i jedino u svrhu financiranja investicijskih aktivnosti, p</w:t>
      </w:r>
      <w:r w:rsidR="00744808" w:rsidRPr="00732F73">
        <w:rPr>
          <w:lang w:eastAsia="en-US"/>
        </w:rPr>
        <w:t>retežito program</w:t>
      </w:r>
      <w:r w:rsidR="001E3EBD" w:rsidRPr="00732F73">
        <w:rPr>
          <w:lang w:eastAsia="en-US"/>
        </w:rPr>
        <w:t>a</w:t>
      </w:r>
      <w:r w:rsidR="00744808" w:rsidRPr="00732F73">
        <w:rPr>
          <w:lang w:eastAsia="en-US"/>
        </w:rPr>
        <w:t xml:space="preserve"> vodoopskrbe, odvodnje otpadnih voda i obrane od poplava</w:t>
      </w:r>
      <w:r w:rsidRPr="00732F73">
        <w:rPr>
          <w:lang w:eastAsia="en-US"/>
        </w:rPr>
        <w:t xml:space="preserve">, solidarno  za projekte na cijelom teritoriju Republike Hrvatske. </w:t>
      </w:r>
      <w:r w:rsidR="00A758F7" w:rsidRPr="00732F73">
        <w:rPr>
          <w:lang w:eastAsia="en-US"/>
        </w:rPr>
        <w:t>Ove obveze imaju najznatniji utjecaj na smanjenje ukupnih obveza Hrvatskih voda na dan 31.12.2019. Iste su smanjenje za ukupno 352.845.087 kn a predstavljaju rezultat ukupno otplaćenih kredita i zajmova koji su u otplati u ukupnom iznosu od 429.709.129 kn i povu</w:t>
      </w:r>
      <w:r w:rsidR="00527563" w:rsidRPr="00732F73">
        <w:rPr>
          <w:lang w:eastAsia="en-US"/>
        </w:rPr>
        <w:t>č</w:t>
      </w:r>
      <w:r w:rsidR="00A758F7" w:rsidRPr="00732F73">
        <w:rPr>
          <w:lang w:eastAsia="en-US"/>
        </w:rPr>
        <w:t>ene IV. tranše kredita CEB-poplave u ukupnom iznosu od 72.995.100 kn</w:t>
      </w:r>
      <w:r w:rsidR="00F85129" w:rsidRPr="00732F73">
        <w:rPr>
          <w:bCs/>
          <w:iCs/>
        </w:rPr>
        <w:t>, te tečajnih razlika u iznosu od 3.868.94</w:t>
      </w:r>
      <w:r w:rsidR="008106CA" w:rsidRPr="00732F73">
        <w:rPr>
          <w:bCs/>
          <w:iCs/>
        </w:rPr>
        <w:t>2</w:t>
      </w:r>
      <w:r w:rsidR="00F85129" w:rsidRPr="00732F73">
        <w:rPr>
          <w:bCs/>
          <w:iCs/>
        </w:rPr>
        <w:t xml:space="preserve"> kn.</w:t>
      </w:r>
    </w:p>
    <w:p w:rsidR="00700385" w:rsidRPr="00732F73" w:rsidRDefault="00700385" w:rsidP="00732F73">
      <w:pPr>
        <w:jc w:val="both"/>
        <w:rPr>
          <w:lang w:eastAsia="en-US"/>
        </w:rPr>
      </w:pPr>
    </w:p>
    <w:p w:rsidR="00700385" w:rsidRPr="00732F73" w:rsidRDefault="00700385" w:rsidP="00732F73">
      <w:pPr>
        <w:jc w:val="both"/>
        <w:rPr>
          <w:lang w:eastAsia="en-US"/>
        </w:rPr>
      </w:pPr>
      <w:r w:rsidRPr="00732F73">
        <w:rPr>
          <w:lang w:eastAsia="en-US"/>
        </w:rPr>
        <w:t>Najznačajniji kreditori su Svjetska banka, HBOR, EIB/CEB i Erste&amp;</w:t>
      </w:r>
      <w:proofErr w:type="spellStart"/>
      <w:r w:rsidRPr="00732F73">
        <w:rPr>
          <w:lang w:eastAsia="en-US"/>
        </w:rPr>
        <w:t>Steiermarkische</w:t>
      </w:r>
      <w:proofErr w:type="spellEnd"/>
      <w:r w:rsidRPr="00732F73">
        <w:rPr>
          <w:lang w:eastAsia="en-US"/>
        </w:rPr>
        <w:t xml:space="preserve"> banka. Krediti su dugoročni, s rokovima otplate od 6 do 15 godina, sa prosječnim troškom financiranja od </w:t>
      </w:r>
      <w:r w:rsidR="007909E0" w:rsidRPr="00732F73">
        <w:rPr>
          <w:lang w:eastAsia="en-US"/>
        </w:rPr>
        <w:t>1,61</w:t>
      </w:r>
      <w:r w:rsidRPr="00732F73">
        <w:rPr>
          <w:lang w:eastAsia="en-US"/>
        </w:rPr>
        <w:t>%.</w:t>
      </w:r>
    </w:p>
    <w:p w:rsidR="00700385" w:rsidRPr="00732F73" w:rsidRDefault="00700385" w:rsidP="00732F73">
      <w:pPr>
        <w:jc w:val="both"/>
        <w:rPr>
          <w:lang w:eastAsia="en-US"/>
        </w:rPr>
      </w:pPr>
    </w:p>
    <w:p w:rsidR="005E410E" w:rsidRPr="00732F73" w:rsidRDefault="00020B64" w:rsidP="00732F73">
      <w:pPr>
        <w:jc w:val="both"/>
        <w:rPr>
          <w:lang w:eastAsia="en-US"/>
        </w:rPr>
      </w:pPr>
      <w:r w:rsidRPr="00732F73">
        <w:rPr>
          <w:lang w:eastAsia="en-US"/>
        </w:rPr>
        <w:t xml:space="preserve">Ukupne obveze </w:t>
      </w:r>
      <w:r w:rsidR="005E410E" w:rsidRPr="00732F73">
        <w:rPr>
          <w:lang w:eastAsia="en-US"/>
        </w:rPr>
        <w:t>na dan 3</w:t>
      </w:r>
      <w:r w:rsidR="00781E00" w:rsidRPr="00732F73">
        <w:rPr>
          <w:lang w:eastAsia="en-US"/>
        </w:rPr>
        <w:t>1</w:t>
      </w:r>
      <w:r w:rsidR="005E410E" w:rsidRPr="00732F73">
        <w:rPr>
          <w:lang w:eastAsia="en-US"/>
        </w:rPr>
        <w:t>.</w:t>
      </w:r>
      <w:r w:rsidR="00781E00" w:rsidRPr="00732F73">
        <w:rPr>
          <w:lang w:eastAsia="en-US"/>
        </w:rPr>
        <w:t>12</w:t>
      </w:r>
      <w:r w:rsidR="005E410E" w:rsidRPr="00732F73">
        <w:rPr>
          <w:lang w:eastAsia="en-US"/>
        </w:rPr>
        <w:t>.2019. godine iznose 1.</w:t>
      </w:r>
      <w:r w:rsidR="00781E00" w:rsidRPr="00732F73">
        <w:rPr>
          <w:lang w:eastAsia="en-US"/>
        </w:rPr>
        <w:t>763</w:t>
      </w:r>
      <w:r w:rsidR="005E410E" w:rsidRPr="00732F73">
        <w:rPr>
          <w:lang w:eastAsia="en-US"/>
        </w:rPr>
        <w:t>.</w:t>
      </w:r>
      <w:r w:rsidR="00781E00" w:rsidRPr="00732F73">
        <w:rPr>
          <w:lang w:eastAsia="en-US"/>
        </w:rPr>
        <w:t>395</w:t>
      </w:r>
      <w:r w:rsidR="005E410E" w:rsidRPr="00732F73">
        <w:rPr>
          <w:lang w:eastAsia="en-US"/>
        </w:rPr>
        <w:t>.3</w:t>
      </w:r>
      <w:r w:rsidR="00781E00" w:rsidRPr="00732F73">
        <w:rPr>
          <w:lang w:eastAsia="en-US"/>
        </w:rPr>
        <w:t>89</w:t>
      </w:r>
      <w:r w:rsidR="005E410E" w:rsidRPr="00732F73">
        <w:rPr>
          <w:lang w:eastAsia="en-US"/>
        </w:rPr>
        <w:t xml:space="preserve"> kn te su manje za </w:t>
      </w:r>
      <w:r w:rsidR="00781E00" w:rsidRPr="00732F73">
        <w:rPr>
          <w:lang w:eastAsia="en-US"/>
        </w:rPr>
        <w:t>18</w:t>
      </w:r>
      <w:r w:rsidR="005E410E" w:rsidRPr="00732F73">
        <w:rPr>
          <w:lang w:eastAsia="en-US"/>
        </w:rPr>
        <w:t>% u odnosu na 3</w:t>
      </w:r>
      <w:r w:rsidR="00781E00" w:rsidRPr="00732F73">
        <w:rPr>
          <w:lang w:eastAsia="en-US"/>
        </w:rPr>
        <w:t>1</w:t>
      </w:r>
      <w:r w:rsidR="005E410E" w:rsidRPr="00732F73">
        <w:rPr>
          <w:lang w:eastAsia="en-US"/>
        </w:rPr>
        <w:t>.</w:t>
      </w:r>
      <w:r w:rsidR="00781E00" w:rsidRPr="00732F73">
        <w:rPr>
          <w:lang w:eastAsia="en-US"/>
        </w:rPr>
        <w:t>12</w:t>
      </w:r>
      <w:r w:rsidR="005E410E" w:rsidRPr="00732F73">
        <w:rPr>
          <w:lang w:eastAsia="en-US"/>
        </w:rPr>
        <w:t>.2018. godine kada su iznosile 2.</w:t>
      </w:r>
      <w:r w:rsidR="00781E00" w:rsidRPr="00732F73">
        <w:rPr>
          <w:lang w:eastAsia="en-US"/>
        </w:rPr>
        <w:t>136</w:t>
      </w:r>
      <w:r w:rsidR="005E410E" w:rsidRPr="00732F73">
        <w:rPr>
          <w:lang w:eastAsia="en-US"/>
        </w:rPr>
        <w:t>.</w:t>
      </w:r>
      <w:r w:rsidR="00781E00" w:rsidRPr="00732F73">
        <w:rPr>
          <w:lang w:eastAsia="en-US"/>
        </w:rPr>
        <w:t>257</w:t>
      </w:r>
      <w:r w:rsidR="005E410E" w:rsidRPr="00732F73">
        <w:rPr>
          <w:lang w:eastAsia="en-US"/>
        </w:rPr>
        <w:t>.</w:t>
      </w:r>
      <w:r w:rsidR="00781E00" w:rsidRPr="00732F73">
        <w:rPr>
          <w:lang w:eastAsia="en-US"/>
        </w:rPr>
        <w:t>818</w:t>
      </w:r>
      <w:r w:rsidR="005E410E" w:rsidRPr="00732F73">
        <w:rPr>
          <w:lang w:eastAsia="en-US"/>
        </w:rPr>
        <w:t xml:space="preserve"> kn. Obveze prema kreditnim institucijama u </w:t>
      </w:r>
      <w:r w:rsidR="001E3BCA" w:rsidRPr="00732F73">
        <w:rPr>
          <w:lang w:eastAsia="en-US"/>
        </w:rPr>
        <w:t>2019. godini</w:t>
      </w:r>
      <w:r w:rsidR="005E410E" w:rsidRPr="00732F73">
        <w:rPr>
          <w:lang w:eastAsia="en-US"/>
        </w:rPr>
        <w:t xml:space="preserve"> čine udio od 8</w:t>
      </w:r>
      <w:r w:rsidR="00781E00" w:rsidRPr="00732F73">
        <w:rPr>
          <w:lang w:eastAsia="en-US"/>
        </w:rPr>
        <w:t>8</w:t>
      </w:r>
      <w:r w:rsidR="005E410E" w:rsidRPr="00732F73">
        <w:rPr>
          <w:lang w:eastAsia="en-US"/>
        </w:rPr>
        <w:t>%</w:t>
      </w:r>
      <w:r w:rsidR="00781E00" w:rsidRPr="00732F73">
        <w:rPr>
          <w:lang w:eastAsia="en-US"/>
        </w:rPr>
        <w:t xml:space="preserve">. </w:t>
      </w:r>
      <w:r w:rsidR="005E410E" w:rsidRPr="00732F73">
        <w:rPr>
          <w:lang w:eastAsia="en-US"/>
        </w:rPr>
        <w:t xml:space="preserve">Nema dospjelih kreditnih obveza, sve se izmiruju u rokovima dospijeća. Ostale </w:t>
      </w:r>
      <w:proofErr w:type="spellStart"/>
      <w:r w:rsidR="005E410E" w:rsidRPr="00732F73">
        <w:rPr>
          <w:lang w:eastAsia="en-US"/>
        </w:rPr>
        <w:t>nekreditne</w:t>
      </w:r>
      <w:proofErr w:type="spellEnd"/>
      <w:r w:rsidR="005E410E" w:rsidRPr="00732F73">
        <w:rPr>
          <w:lang w:eastAsia="en-US"/>
        </w:rPr>
        <w:t xml:space="preserve"> obveze su nedospjele i iznose </w:t>
      </w:r>
      <w:r w:rsidR="00781E00" w:rsidRPr="00732F73">
        <w:rPr>
          <w:lang w:eastAsia="en-US"/>
        </w:rPr>
        <w:t>208</w:t>
      </w:r>
      <w:r w:rsidR="005E410E" w:rsidRPr="00732F73">
        <w:rPr>
          <w:lang w:eastAsia="en-US"/>
        </w:rPr>
        <w:t>.</w:t>
      </w:r>
      <w:r w:rsidR="00781E00" w:rsidRPr="00732F73">
        <w:rPr>
          <w:lang w:eastAsia="en-US"/>
        </w:rPr>
        <w:t>072</w:t>
      </w:r>
      <w:r w:rsidR="005E410E" w:rsidRPr="00732F73">
        <w:rPr>
          <w:lang w:eastAsia="en-US"/>
        </w:rPr>
        <w:t>.</w:t>
      </w:r>
      <w:r w:rsidR="00781E00" w:rsidRPr="00732F73">
        <w:rPr>
          <w:lang w:eastAsia="en-US"/>
        </w:rPr>
        <w:t>654</w:t>
      </w:r>
      <w:r w:rsidR="005E410E" w:rsidRPr="00732F73">
        <w:rPr>
          <w:lang w:eastAsia="en-US"/>
        </w:rPr>
        <w:t xml:space="preserve"> kn, dok </w:t>
      </w:r>
      <w:r w:rsidR="001E3BCA" w:rsidRPr="00732F73">
        <w:rPr>
          <w:lang w:eastAsia="en-US"/>
        </w:rPr>
        <w:t xml:space="preserve">su </w:t>
      </w:r>
      <w:r w:rsidR="005E410E" w:rsidRPr="00732F73">
        <w:rPr>
          <w:lang w:eastAsia="en-US"/>
        </w:rPr>
        <w:t>2018.</w:t>
      </w:r>
      <w:r w:rsidR="00781E00" w:rsidRPr="00732F73">
        <w:rPr>
          <w:lang w:eastAsia="en-US"/>
        </w:rPr>
        <w:t xml:space="preserve"> </w:t>
      </w:r>
      <w:r w:rsidR="005E410E" w:rsidRPr="00732F73">
        <w:rPr>
          <w:lang w:eastAsia="en-US"/>
        </w:rPr>
        <w:t>godine iznosile 2</w:t>
      </w:r>
      <w:r w:rsidR="00E87E66" w:rsidRPr="00732F73">
        <w:rPr>
          <w:lang w:eastAsia="en-US"/>
        </w:rPr>
        <w:t>28</w:t>
      </w:r>
      <w:r w:rsidR="005E410E" w:rsidRPr="00732F73">
        <w:rPr>
          <w:lang w:eastAsia="en-US"/>
        </w:rPr>
        <w:t>.</w:t>
      </w:r>
      <w:r w:rsidR="00E87E66" w:rsidRPr="00732F73">
        <w:rPr>
          <w:lang w:eastAsia="en-US"/>
        </w:rPr>
        <w:t>089</w:t>
      </w:r>
      <w:r w:rsidR="005E410E" w:rsidRPr="00732F73">
        <w:rPr>
          <w:lang w:eastAsia="en-US"/>
        </w:rPr>
        <w:t>.</w:t>
      </w:r>
      <w:r w:rsidR="00E87E66" w:rsidRPr="00732F73">
        <w:rPr>
          <w:lang w:eastAsia="en-US"/>
        </w:rPr>
        <w:t>996</w:t>
      </w:r>
      <w:r w:rsidR="005E410E" w:rsidRPr="00732F73">
        <w:rPr>
          <w:lang w:eastAsia="en-US"/>
        </w:rPr>
        <w:t xml:space="preserve"> kn, što je manje za 9% i pretežito se odnose na obveze prema dobavljačima za fakturirane poslove zaključno sa 3</w:t>
      </w:r>
      <w:r w:rsidR="00781E00" w:rsidRPr="00732F73">
        <w:rPr>
          <w:lang w:eastAsia="en-US"/>
        </w:rPr>
        <w:t>1</w:t>
      </w:r>
      <w:r w:rsidR="005E410E" w:rsidRPr="00732F73">
        <w:rPr>
          <w:lang w:eastAsia="en-US"/>
        </w:rPr>
        <w:t>.</w:t>
      </w:r>
      <w:r w:rsidR="00781E00" w:rsidRPr="00732F73">
        <w:rPr>
          <w:lang w:eastAsia="en-US"/>
        </w:rPr>
        <w:t>12</w:t>
      </w:r>
      <w:r w:rsidR="005E410E" w:rsidRPr="00732F73">
        <w:rPr>
          <w:lang w:eastAsia="en-US"/>
        </w:rPr>
        <w:t>. a koje se podmiruju tijekom s</w:t>
      </w:r>
      <w:r w:rsidR="00781E00" w:rsidRPr="00732F73">
        <w:rPr>
          <w:lang w:eastAsia="en-US"/>
        </w:rPr>
        <w:t>iječnja</w:t>
      </w:r>
      <w:r w:rsidR="005E410E" w:rsidRPr="00732F73">
        <w:rPr>
          <w:lang w:eastAsia="en-US"/>
        </w:rPr>
        <w:t>, unutar ugovornog roka do 30 dana.</w:t>
      </w:r>
    </w:p>
    <w:p w:rsidR="003F2233" w:rsidRDefault="003F2233" w:rsidP="00732F73">
      <w:pPr>
        <w:spacing w:after="120"/>
        <w:jc w:val="both"/>
        <w:rPr>
          <w:b/>
          <w:bCs/>
        </w:rPr>
      </w:pPr>
    </w:p>
    <w:p w:rsidR="00700385" w:rsidRPr="00732F73" w:rsidRDefault="00700385" w:rsidP="003F2233">
      <w:pPr>
        <w:pStyle w:val="Odlomakpopisa"/>
        <w:numPr>
          <w:ilvl w:val="0"/>
          <w:numId w:val="9"/>
        </w:numPr>
        <w:jc w:val="both"/>
        <w:rPr>
          <w:b/>
          <w:bCs/>
        </w:rPr>
      </w:pPr>
      <w:r w:rsidRPr="00732F73">
        <w:rPr>
          <w:b/>
          <w:bCs/>
        </w:rPr>
        <w:t xml:space="preserve">STANJE POTENCIJALNIH OBVEZA PO OSNOVI SUDSKIH POSTUPAKA </w:t>
      </w:r>
    </w:p>
    <w:p w:rsidR="00E70909" w:rsidRPr="00732F73" w:rsidRDefault="00E70909" w:rsidP="00732F73">
      <w:pPr>
        <w:jc w:val="both"/>
        <w:rPr>
          <w:lang w:eastAsia="en-US"/>
        </w:rPr>
      </w:pPr>
    </w:p>
    <w:p w:rsidR="00700385" w:rsidRPr="00732F73" w:rsidRDefault="001D281E" w:rsidP="00732F73">
      <w:pPr>
        <w:jc w:val="both"/>
        <w:rPr>
          <w:lang w:eastAsia="en-US"/>
        </w:rPr>
      </w:pPr>
      <w:r w:rsidRPr="00732F73">
        <w:rPr>
          <w:lang w:eastAsia="en-US"/>
        </w:rPr>
        <w:t xml:space="preserve">U Hrvatskim </w:t>
      </w:r>
      <w:r w:rsidR="00650480" w:rsidRPr="00732F73">
        <w:rPr>
          <w:lang w:eastAsia="en-US"/>
        </w:rPr>
        <w:t xml:space="preserve">vodama se kontinuirano u sklopu Izvještaja o godišnjem popisu imovine i obveza evidentiraju potencijalne obveze po osnovi sudskih postupaka, koji uz ispunjenje određenih uvjeta mogu postati obveza ili imovina. </w:t>
      </w:r>
      <w:r w:rsidR="001559D3" w:rsidRPr="00732F73">
        <w:rPr>
          <w:lang w:eastAsia="en-US"/>
        </w:rPr>
        <w:t>Isto je</w:t>
      </w:r>
      <w:r w:rsidR="00686714" w:rsidRPr="00732F73">
        <w:rPr>
          <w:lang w:eastAsia="en-US"/>
        </w:rPr>
        <w:t xml:space="preserve"> evidentirano u okviru </w:t>
      </w:r>
      <w:proofErr w:type="spellStart"/>
      <w:r w:rsidR="00686714" w:rsidRPr="00732F73">
        <w:rPr>
          <w:lang w:eastAsia="en-US"/>
        </w:rPr>
        <w:t>izvanbilančnih</w:t>
      </w:r>
      <w:proofErr w:type="spellEnd"/>
      <w:r w:rsidR="00686714" w:rsidRPr="00732F73">
        <w:rPr>
          <w:lang w:eastAsia="en-US"/>
        </w:rPr>
        <w:t xml:space="preserve"> zapisa. </w:t>
      </w:r>
      <w:r w:rsidR="00650480" w:rsidRPr="00732F73">
        <w:rPr>
          <w:lang w:eastAsia="en-US"/>
        </w:rPr>
        <w:t xml:space="preserve">Stanje sporova na sudu koji su u tijeku na dan </w:t>
      </w:r>
      <w:r w:rsidR="00B0281E" w:rsidRPr="00732F73">
        <w:rPr>
          <w:lang w:eastAsia="en-US"/>
        </w:rPr>
        <w:t>3</w:t>
      </w:r>
      <w:r w:rsidR="00B93B63" w:rsidRPr="00732F73">
        <w:rPr>
          <w:lang w:eastAsia="en-US"/>
        </w:rPr>
        <w:t>1</w:t>
      </w:r>
      <w:r w:rsidR="00B0281E" w:rsidRPr="00732F73">
        <w:rPr>
          <w:lang w:eastAsia="en-US"/>
        </w:rPr>
        <w:t>.</w:t>
      </w:r>
      <w:r w:rsidR="00B93B63" w:rsidRPr="00732F73">
        <w:rPr>
          <w:lang w:eastAsia="en-US"/>
        </w:rPr>
        <w:t>12</w:t>
      </w:r>
      <w:r w:rsidR="00B0281E" w:rsidRPr="00732F73">
        <w:rPr>
          <w:lang w:eastAsia="en-US"/>
        </w:rPr>
        <w:t>.2019</w:t>
      </w:r>
      <w:r w:rsidR="00650480" w:rsidRPr="00732F73">
        <w:rPr>
          <w:lang w:eastAsia="en-US"/>
        </w:rPr>
        <w:t>. godine je sljedeće:</w:t>
      </w:r>
    </w:p>
    <w:p w:rsidR="0074268D" w:rsidRPr="00732F73" w:rsidRDefault="0074268D" w:rsidP="00732F73">
      <w:pPr>
        <w:jc w:val="both"/>
        <w:rPr>
          <w:lang w:eastAsia="en-US"/>
        </w:rPr>
      </w:pP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992"/>
        <w:gridCol w:w="1276"/>
        <w:gridCol w:w="567"/>
        <w:gridCol w:w="1276"/>
        <w:gridCol w:w="567"/>
        <w:gridCol w:w="1134"/>
        <w:gridCol w:w="567"/>
        <w:gridCol w:w="1275"/>
      </w:tblGrid>
      <w:tr w:rsidR="003F2233" w:rsidRPr="003F2233" w:rsidTr="003F2233">
        <w:trPr>
          <w:trHeight w:val="954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DD6EE"/>
            <w:vAlign w:val="center"/>
            <w:hideMark/>
          </w:tcPr>
          <w:p w:rsidR="003F2233" w:rsidRPr="003F2233" w:rsidRDefault="003F2233" w:rsidP="003F2233">
            <w:pPr>
              <w:jc w:val="center"/>
              <w:rPr>
                <w:b/>
                <w:bCs/>
                <w:sz w:val="20"/>
                <w:szCs w:val="20"/>
              </w:rPr>
            </w:pPr>
            <w:r w:rsidRPr="003F2233">
              <w:rPr>
                <w:b/>
                <w:bCs/>
                <w:sz w:val="20"/>
                <w:szCs w:val="20"/>
              </w:rPr>
              <w:t>TUŽENI HRVATSKE VODE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BDD6EE"/>
            <w:vAlign w:val="center"/>
            <w:hideMark/>
          </w:tcPr>
          <w:p w:rsidR="003F2233" w:rsidRPr="003F2233" w:rsidRDefault="003F2233" w:rsidP="003F2233">
            <w:pPr>
              <w:jc w:val="center"/>
              <w:rPr>
                <w:sz w:val="20"/>
                <w:szCs w:val="20"/>
              </w:rPr>
            </w:pPr>
            <w:r w:rsidRPr="003F2233">
              <w:rPr>
                <w:sz w:val="20"/>
                <w:szCs w:val="20"/>
              </w:rPr>
              <w:t>ukupan broj predmeta u sporu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BDD6EE"/>
            <w:vAlign w:val="center"/>
            <w:hideMark/>
          </w:tcPr>
          <w:p w:rsidR="003F2233" w:rsidRPr="003F2233" w:rsidRDefault="003F2233" w:rsidP="003F2233">
            <w:pPr>
              <w:jc w:val="center"/>
              <w:rPr>
                <w:sz w:val="20"/>
                <w:szCs w:val="20"/>
              </w:rPr>
            </w:pPr>
            <w:r w:rsidRPr="003F2233">
              <w:rPr>
                <w:sz w:val="20"/>
                <w:szCs w:val="20"/>
              </w:rPr>
              <w:t>Ukupan iznos glavnice u sporu /kn/</w:t>
            </w:r>
          </w:p>
          <w:p w:rsidR="003F2233" w:rsidRPr="003F2233" w:rsidRDefault="003F2233" w:rsidP="003F22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DD6EE"/>
            <w:vAlign w:val="center"/>
            <w:hideMark/>
          </w:tcPr>
          <w:p w:rsidR="003F2233" w:rsidRPr="003F2233" w:rsidRDefault="003F2233" w:rsidP="003F2233">
            <w:pPr>
              <w:jc w:val="center"/>
              <w:rPr>
                <w:sz w:val="20"/>
                <w:szCs w:val="20"/>
              </w:rPr>
            </w:pPr>
            <w:r w:rsidRPr="003F2233">
              <w:rPr>
                <w:sz w:val="20"/>
                <w:szCs w:val="20"/>
              </w:rPr>
              <w:t> Predviđanje ishoda spora /kn/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DD6EE"/>
            <w:vAlign w:val="center"/>
            <w:hideMark/>
          </w:tcPr>
          <w:p w:rsidR="003F2233" w:rsidRPr="003F2233" w:rsidRDefault="003F2233" w:rsidP="003F2233">
            <w:pPr>
              <w:jc w:val="center"/>
              <w:rPr>
                <w:sz w:val="20"/>
                <w:szCs w:val="20"/>
              </w:rPr>
            </w:pPr>
            <w:r w:rsidRPr="003F2233">
              <w:rPr>
                <w:sz w:val="20"/>
                <w:szCs w:val="20"/>
              </w:rPr>
              <w:t> Predviđanje ishoda spora /kn/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DD6EE"/>
            <w:vAlign w:val="center"/>
            <w:hideMark/>
          </w:tcPr>
          <w:p w:rsidR="003F2233" w:rsidRPr="003F2233" w:rsidRDefault="003F2233" w:rsidP="00732F73">
            <w:pPr>
              <w:jc w:val="center"/>
              <w:rPr>
                <w:sz w:val="20"/>
                <w:szCs w:val="20"/>
              </w:rPr>
            </w:pPr>
            <w:r w:rsidRPr="003F2233">
              <w:rPr>
                <w:sz w:val="20"/>
                <w:szCs w:val="20"/>
              </w:rPr>
              <w:t> </w:t>
            </w:r>
          </w:p>
          <w:p w:rsidR="003F2233" w:rsidRPr="003F2233" w:rsidRDefault="003F2233" w:rsidP="00732F73">
            <w:pPr>
              <w:jc w:val="center"/>
              <w:rPr>
                <w:sz w:val="20"/>
                <w:szCs w:val="20"/>
              </w:rPr>
            </w:pPr>
            <w:r w:rsidRPr="003F2233">
              <w:rPr>
                <w:sz w:val="20"/>
                <w:szCs w:val="20"/>
              </w:rPr>
              <w:t>Predviđanje ishoda spora /kn/</w:t>
            </w:r>
          </w:p>
        </w:tc>
      </w:tr>
      <w:tr w:rsidR="003F2233" w:rsidRPr="003F2233" w:rsidTr="003F2233">
        <w:trPr>
          <w:trHeight w:val="285"/>
        </w:trPr>
        <w:tc>
          <w:tcPr>
            <w:tcW w:w="14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vAlign w:val="center"/>
            <w:hideMark/>
          </w:tcPr>
          <w:p w:rsidR="003F2233" w:rsidRPr="003F2233" w:rsidRDefault="003F2233" w:rsidP="003F22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vAlign w:val="center"/>
            <w:hideMark/>
          </w:tcPr>
          <w:p w:rsidR="003F2233" w:rsidRPr="003F2233" w:rsidRDefault="003F2233" w:rsidP="003F22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DD6EE"/>
            <w:noWrap/>
            <w:vAlign w:val="center"/>
            <w:hideMark/>
          </w:tcPr>
          <w:p w:rsidR="003F2233" w:rsidRPr="003F2233" w:rsidRDefault="003F2233" w:rsidP="003F22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:rsidR="003F2233" w:rsidRPr="003F2233" w:rsidRDefault="003F2233" w:rsidP="003F2233">
            <w:pPr>
              <w:jc w:val="center"/>
              <w:rPr>
                <w:sz w:val="20"/>
                <w:szCs w:val="20"/>
              </w:rPr>
            </w:pPr>
            <w:r w:rsidRPr="003F2233">
              <w:rPr>
                <w:sz w:val="20"/>
                <w:szCs w:val="20"/>
              </w:rPr>
              <w:t> neizvjesno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:rsidR="003F2233" w:rsidRPr="003F2233" w:rsidRDefault="003F2233" w:rsidP="003F2233">
            <w:pPr>
              <w:jc w:val="center"/>
              <w:rPr>
                <w:sz w:val="20"/>
                <w:szCs w:val="20"/>
              </w:rPr>
            </w:pPr>
            <w:r w:rsidRPr="003F2233">
              <w:rPr>
                <w:sz w:val="20"/>
                <w:szCs w:val="20"/>
              </w:rPr>
              <w:t> na štetu HV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:rsidR="003F2233" w:rsidRPr="003F2233" w:rsidRDefault="003F2233" w:rsidP="003F2233">
            <w:pPr>
              <w:jc w:val="center"/>
              <w:rPr>
                <w:sz w:val="20"/>
                <w:szCs w:val="20"/>
              </w:rPr>
            </w:pPr>
            <w:r w:rsidRPr="003F2233">
              <w:rPr>
                <w:sz w:val="20"/>
                <w:szCs w:val="20"/>
              </w:rPr>
              <w:t> u korist HV</w:t>
            </w:r>
          </w:p>
        </w:tc>
      </w:tr>
      <w:tr w:rsidR="003F2233" w:rsidRPr="003F2233" w:rsidTr="003F2233">
        <w:trPr>
          <w:trHeight w:val="56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0" w:rsidRPr="003F2233" w:rsidRDefault="00650480" w:rsidP="003F2233">
            <w:pPr>
              <w:jc w:val="center"/>
              <w:rPr>
                <w:sz w:val="20"/>
                <w:szCs w:val="20"/>
              </w:rPr>
            </w:pPr>
            <w:r w:rsidRPr="003F2233">
              <w:rPr>
                <w:sz w:val="20"/>
                <w:szCs w:val="20"/>
              </w:rPr>
              <w:t>UKUPNO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0" w:rsidRPr="003F2233" w:rsidRDefault="0027251B" w:rsidP="003F2233">
            <w:pPr>
              <w:jc w:val="center"/>
              <w:rPr>
                <w:sz w:val="20"/>
                <w:szCs w:val="20"/>
              </w:rPr>
            </w:pPr>
            <w:r w:rsidRPr="003F2233">
              <w:rPr>
                <w:sz w:val="20"/>
                <w:szCs w:val="20"/>
              </w:rPr>
              <w:t>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0" w:rsidRPr="003F2233" w:rsidRDefault="00875E10" w:rsidP="003F2233">
            <w:pPr>
              <w:jc w:val="center"/>
              <w:rPr>
                <w:sz w:val="20"/>
                <w:szCs w:val="20"/>
              </w:rPr>
            </w:pPr>
            <w:r w:rsidRPr="003F2233">
              <w:rPr>
                <w:sz w:val="20"/>
                <w:szCs w:val="20"/>
              </w:rPr>
              <w:t>18</w:t>
            </w:r>
            <w:r w:rsidR="00B93B63" w:rsidRPr="003F2233">
              <w:rPr>
                <w:sz w:val="20"/>
                <w:szCs w:val="20"/>
              </w:rPr>
              <w:t>0</w:t>
            </w:r>
            <w:r w:rsidRPr="003F2233">
              <w:rPr>
                <w:sz w:val="20"/>
                <w:szCs w:val="20"/>
              </w:rPr>
              <w:t>.</w:t>
            </w:r>
            <w:r w:rsidR="00B93B63" w:rsidRPr="003F2233">
              <w:rPr>
                <w:sz w:val="20"/>
                <w:szCs w:val="20"/>
              </w:rPr>
              <w:t>241</w:t>
            </w:r>
            <w:r w:rsidRPr="003F2233">
              <w:rPr>
                <w:sz w:val="20"/>
                <w:szCs w:val="20"/>
              </w:rPr>
              <w:t>.</w:t>
            </w:r>
            <w:r w:rsidR="00B93B63" w:rsidRPr="003F2233">
              <w:rPr>
                <w:sz w:val="20"/>
                <w:szCs w:val="20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0" w:rsidRPr="003F2233" w:rsidRDefault="00875E10" w:rsidP="00732F73">
            <w:pPr>
              <w:jc w:val="center"/>
              <w:rPr>
                <w:sz w:val="20"/>
                <w:szCs w:val="20"/>
              </w:rPr>
            </w:pPr>
            <w:r w:rsidRPr="003F2233">
              <w:rPr>
                <w:sz w:val="20"/>
                <w:szCs w:val="20"/>
              </w:rPr>
              <w:t>1</w:t>
            </w:r>
            <w:r w:rsidR="00BE7538" w:rsidRPr="003F2233"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0" w:rsidRPr="003F2233" w:rsidRDefault="00875E10" w:rsidP="00732F73">
            <w:pPr>
              <w:jc w:val="center"/>
              <w:rPr>
                <w:sz w:val="20"/>
                <w:szCs w:val="20"/>
              </w:rPr>
            </w:pPr>
            <w:r w:rsidRPr="003F2233">
              <w:rPr>
                <w:sz w:val="20"/>
                <w:szCs w:val="20"/>
              </w:rPr>
              <w:t>1</w:t>
            </w:r>
            <w:r w:rsidR="00BE7538" w:rsidRPr="003F2233">
              <w:rPr>
                <w:sz w:val="20"/>
                <w:szCs w:val="20"/>
              </w:rPr>
              <w:t>10</w:t>
            </w:r>
            <w:r w:rsidRPr="003F2233">
              <w:rPr>
                <w:sz w:val="20"/>
                <w:szCs w:val="20"/>
              </w:rPr>
              <w:t>.</w:t>
            </w:r>
            <w:r w:rsidR="00BE7538" w:rsidRPr="003F2233">
              <w:rPr>
                <w:sz w:val="20"/>
                <w:szCs w:val="20"/>
              </w:rPr>
              <w:t>323</w:t>
            </w:r>
            <w:r w:rsidRPr="003F2233">
              <w:rPr>
                <w:sz w:val="20"/>
                <w:szCs w:val="20"/>
              </w:rPr>
              <w:t>.</w:t>
            </w:r>
            <w:r w:rsidR="00BE7538" w:rsidRPr="003F2233">
              <w:rPr>
                <w:sz w:val="20"/>
                <w:szCs w:val="20"/>
              </w:rPr>
              <w:t>28</w:t>
            </w:r>
            <w:r w:rsidR="0027251B" w:rsidRPr="003F2233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0" w:rsidRPr="003F2233" w:rsidRDefault="00875E10" w:rsidP="00732F73">
            <w:pPr>
              <w:jc w:val="center"/>
              <w:rPr>
                <w:sz w:val="20"/>
                <w:szCs w:val="20"/>
              </w:rPr>
            </w:pPr>
            <w:r w:rsidRPr="003F2233">
              <w:rPr>
                <w:sz w:val="20"/>
                <w:szCs w:val="20"/>
              </w:rPr>
              <w:t>1</w:t>
            </w:r>
            <w:r w:rsidR="00BE7538" w:rsidRPr="003F223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0" w:rsidRPr="003F2233" w:rsidRDefault="00BE7538" w:rsidP="00732F73">
            <w:pPr>
              <w:jc w:val="center"/>
              <w:rPr>
                <w:sz w:val="20"/>
                <w:szCs w:val="20"/>
              </w:rPr>
            </w:pPr>
            <w:r w:rsidRPr="003F2233">
              <w:rPr>
                <w:sz w:val="20"/>
                <w:szCs w:val="20"/>
              </w:rPr>
              <w:t>902</w:t>
            </w:r>
            <w:r w:rsidR="00875E10" w:rsidRPr="003F2233">
              <w:rPr>
                <w:sz w:val="20"/>
                <w:szCs w:val="20"/>
              </w:rPr>
              <w:t>.</w:t>
            </w:r>
            <w:r w:rsidRPr="003F2233">
              <w:rPr>
                <w:sz w:val="20"/>
                <w:szCs w:val="20"/>
              </w:rPr>
              <w:t>21</w:t>
            </w:r>
            <w:r w:rsidR="00875E10" w:rsidRPr="003F223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0" w:rsidRPr="003F2233" w:rsidRDefault="00875E10" w:rsidP="00732F73">
            <w:pPr>
              <w:jc w:val="center"/>
              <w:rPr>
                <w:sz w:val="20"/>
                <w:szCs w:val="20"/>
              </w:rPr>
            </w:pPr>
            <w:r w:rsidRPr="003F2233">
              <w:rPr>
                <w:sz w:val="20"/>
                <w:szCs w:val="20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80" w:rsidRPr="003F2233" w:rsidRDefault="00875E10" w:rsidP="00732F73">
            <w:pPr>
              <w:jc w:val="center"/>
              <w:rPr>
                <w:sz w:val="20"/>
                <w:szCs w:val="20"/>
              </w:rPr>
            </w:pPr>
            <w:r w:rsidRPr="003F2233">
              <w:rPr>
                <w:sz w:val="20"/>
                <w:szCs w:val="20"/>
              </w:rPr>
              <w:t>6</w:t>
            </w:r>
            <w:r w:rsidR="00BE7538" w:rsidRPr="003F2233">
              <w:rPr>
                <w:sz w:val="20"/>
                <w:szCs w:val="20"/>
              </w:rPr>
              <w:t>9</w:t>
            </w:r>
            <w:r w:rsidRPr="003F2233">
              <w:rPr>
                <w:sz w:val="20"/>
                <w:szCs w:val="20"/>
              </w:rPr>
              <w:t>.</w:t>
            </w:r>
            <w:r w:rsidR="00BE7538" w:rsidRPr="003F2233">
              <w:rPr>
                <w:sz w:val="20"/>
                <w:szCs w:val="20"/>
              </w:rPr>
              <w:t>015</w:t>
            </w:r>
            <w:r w:rsidRPr="003F2233">
              <w:rPr>
                <w:sz w:val="20"/>
                <w:szCs w:val="20"/>
              </w:rPr>
              <w:t>.</w:t>
            </w:r>
            <w:r w:rsidR="00BE7538" w:rsidRPr="003F2233">
              <w:rPr>
                <w:sz w:val="20"/>
                <w:szCs w:val="20"/>
              </w:rPr>
              <w:t>70</w:t>
            </w:r>
            <w:r w:rsidR="0027251B" w:rsidRPr="003F2233">
              <w:rPr>
                <w:sz w:val="20"/>
                <w:szCs w:val="20"/>
              </w:rPr>
              <w:t>2</w:t>
            </w:r>
          </w:p>
        </w:tc>
      </w:tr>
    </w:tbl>
    <w:p w:rsidR="00650480" w:rsidRPr="00732F73" w:rsidRDefault="00650480" w:rsidP="00732F73">
      <w:pPr>
        <w:rPr>
          <w:rFonts w:eastAsia="Calibri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433"/>
        <w:gridCol w:w="992"/>
        <w:gridCol w:w="1276"/>
        <w:gridCol w:w="567"/>
        <w:gridCol w:w="1276"/>
        <w:gridCol w:w="567"/>
        <w:gridCol w:w="1134"/>
        <w:gridCol w:w="567"/>
        <w:gridCol w:w="1275"/>
      </w:tblGrid>
      <w:tr w:rsidR="003F2233" w:rsidRPr="003F2233" w:rsidTr="003F2233">
        <w:trPr>
          <w:trHeight w:val="803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DD6EE"/>
            <w:vAlign w:val="center"/>
            <w:hideMark/>
          </w:tcPr>
          <w:p w:rsidR="003F2233" w:rsidRPr="003F2233" w:rsidRDefault="003F2233" w:rsidP="003F2233">
            <w:pPr>
              <w:jc w:val="center"/>
              <w:rPr>
                <w:b/>
                <w:bCs/>
                <w:sz w:val="20"/>
                <w:szCs w:val="20"/>
              </w:rPr>
            </w:pPr>
            <w:r w:rsidRPr="003F2233">
              <w:rPr>
                <w:b/>
                <w:bCs/>
                <w:sz w:val="20"/>
                <w:szCs w:val="20"/>
              </w:rPr>
              <w:t>TUŽITELJ HRVATSKE VODE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BDD6EE"/>
            <w:vAlign w:val="center"/>
            <w:hideMark/>
          </w:tcPr>
          <w:p w:rsidR="003F2233" w:rsidRPr="003F2233" w:rsidRDefault="003F2233" w:rsidP="003F2233">
            <w:pPr>
              <w:jc w:val="center"/>
              <w:rPr>
                <w:sz w:val="20"/>
                <w:szCs w:val="20"/>
              </w:rPr>
            </w:pPr>
            <w:r w:rsidRPr="003F2233">
              <w:rPr>
                <w:sz w:val="20"/>
                <w:szCs w:val="20"/>
              </w:rPr>
              <w:t>ukupan broj predmeta u sporu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BDD6EE"/>
            <w:vAlign w:val="center"/>
            <w:hideMark/>
          </w:tcPr>
          <w:p w:rsidR="003F2233" w:rsidRPr="003F2233" w:rsidRDefault="003F2233" w:rsidP="003F2233">
            <w:pPr>
              <w:jc w:val="center"/>
              <w:rPr>
                <w:sz w:val="20"/>
                <w:szCs w:val="20"/>
              </w:rPr>
            </w:pPr>
            <w:r w:rsidRPr="003F2233">
              <w:rPr>
                <w:sz w:val="20"/>
                <w:szCs w:val="20"/>
              </w:rPr>
              <w:t>Ukupan iznos glavnice u sporu /kn/</w:t>
            </w:r>
          </w:p>
          <w:p w:rsidR="003F2233" w:rsidRPr="003F2233" w:rsidRDefault="003F2233" w:rsidP="003F22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DD6EE"/>
            <w:vAlign w:val="center"/>
            <w:hideMark/>
          </w:tcPr>
          <w:p w:rsidR="003F2233" w:rsidRPr="003F2233" w:rsidRDefault="003F2233" w:rsidP="003F2233">
            <w:pPr>
              <w:jc w:val="center"/>
              <w:rPr>
                <w:sz w:val="20"/>
                <w:szCs w:val="20"/>
              </w:rPr>
            </w:pPr>
            <w:r w:rsidRPr="003F2233">
              <w:rPr>
                <w:sz w:val="20"/>
                <w:szCs w:val="20"/>
              </w:rPr>
              <w:t> Predviđanje ishoda spora /kn/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DD6EE"/>
            <w:vAlign w:val="center"/>
            <w:hideMark/>
          </w:tcPr>
          <w:p w:rsidR="003F2233" w:rsidRPr="003F2233" w:rsidRDefault="003F2233" w:rsidP="003F2233">
            <w:pPr>
              <w:jc w:val="center"/>
              <w:rPr>
                <w:sz w:val="20"/>
                <w:szCs w:val="20"/>
              </w:rPr>
            </w:pPr>
            <w:r w:rsidRPr="003F2233">
              <w:rPr>
                <w:sz w:val="20"/>
                <w:szCs w:val="20"/>
              </w:rPr>
              <w:t> Predviđanje ishoda spora /kn/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DD6EE"/>
            <w:vAlign w:val="center"/>
            <w:hideMark/>
          </w:tcPr>
          <w:p w:rsidR="003F2233" w:rsidRPr="003F2233" w:rsidRDefault="003F2233" w:rsidP="003F2233">
            <w:pPr>
              <w:jc w:val="center"/>
              <w:rPr>
                <w:sz w:val="20"/>
                <w:szCs w:val="20"/>
              </w:rPr>
            </w:pPr>
            <w:r w:rsidRPr="003F2233">
              <w:rPr>
                <w:sz w:val="20"/>
                <w:szCs w:val="20"/>
              </w:rPr>
              <w:t> Predviđanje ishoda spora /kn/</w:t>
            </w:r>
          </w:p>
        </w:tc>
      </w:tr>
      <w:tr w:rsidR="003F2233" w:rsidRPr="003F2233" w:rsidTr="003F2233">
        <w:trPr>
          <w:trHeight w:val="274"/>
        </w:trPr>
        <w:tc>
          <w:tcPr>
            <w:tcW w:w="14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DD6EE"/>
            <w:noWrap/>
            <w:vAlign w:val="center"/>
            <w:hideMark/>
          </w:tcPr>
          <w:p w:rsidR="003F2233" w:rsidRPr="003F2233" w:rsidRDefault="003F2233" w:rsidP="003F22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/>
            <w:noWrap/>
            <w:vAlign w:val="center"/>
            <w:hideMark/>
          </w:tcPr>
          <w:p w:rsidR="003F2233" w:rsidRPr="003F2233" w:rsidRDefault="003F2233" w:rsidP="003F22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DD6EE"/>
            <w:noWrap/>
            <w:vAlign w:val="center"/>
            <w:hideMark/>
          </w:tcPr>
          <w:p w:rsidR="003F2233" w:rsidRPr="003F2233" w:rsidRDefault="003F2233" w:rsidP="003F22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:rsidR="003F2233" w:rsidRPr="003F2233" w:rsidRDefault="003F2233" w:rsidP="003F2233">
            <w:pPr>
              <w:jc w:val="center"/>
              <w:rPr>
                <w:sz w:val="20"/>
                <w:szCs w:val="20"/>
              </w:rPr>
            </w:pPr>
            <w:r w:rsidRPr="003F2233">
              <w:rPr>
                <w:sz w:val="20"/>
                <w:szCs w:val="20"/>
              </w:rPr>
              <w:t> neizvjesno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:rsidR="003F2233" w:rsidRPr="003F2233" w:rsidRDefault="003F2233" w:rsidP="003F2233">
            <w:pPr>
              <w:jc w:val="center"/>
              <w:rPr>
                <w:sz w:val="20"/>
                <w:szCs w:val="20"/>
              </w:rPr>
            </w:pPr>
            <w:r w:rsidRPr="003F2233">
              <w:rPr>
                <w:sz w:val="20"/>
                <w:szCs w:val="20"/>
              </w:rPr>
              <w:t> na štetu HV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:rsidR="003F2233" w:rsidRPr="003F2233" w:rsidRDefault="003F2233" w:rsidP="003F2233">
            <w:pPr>
              <w:jc w:val="center"/>
              <w:rPr>
                <w:sz w:val="20"/>
                <w:szCs w:val="20"/>
              </w:rPr>
            </w:pPr>
            <w:r w:rsidRPr="003F2233">
              <w:rPr>
                <w:sz w:val="20"/>
                <w:szCs w:val="20"/>
              </w:rPr>
              <w:t> u korist HV</w:t>
            </w:r>
          </w:p>
        </w:tc>
      </w:tr>
      <w:tr w:rsidR="003F2233" w:rsidRPr="003F2233" w:rsidTr="003F2233">
        <w:trPr>
          <w:trHeight w:val="59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480" w:rsidRPr="003F2233" w:rsidRDefault="00650480" w:rsidP="003F2233">
            <w:pPr>
              <w:jc w:val="center"/>
              <w:rPr>
                <w:bCs/>
                <w:sz w:val="20"/>
                <w:szCs w:val="20"/>
              </w:rPr>
            </w:pPr>
            <w:r w:rsidRPr="003F2233">
              <w:rPr>
                <w:bCs/>
                <w:sz w:val="20"/>
                <w:szCs w:val="20"/>
              </w:rPr>
              <w:t>UKUPNO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480" w:rsidRPr="003F2233" w:rsidRDefault="00686714" w:rsidP="003F2233">
            <w:pPr>
              <w:jc w:val="center"/>
              <w:rPr>
                <w:sz w:val="20"/>
                <w:szCs w:val="20"/>
              </w:rPr>
            </w:pPr>
            <w:r w:rsidRPr="003F2233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480" w:rsidRPr="003F2233" w:rsidRDefault="00B93B63" w:rsidP="003F2233">
            <w:pPr>
              <w:jc w:val="center"/>
              <w:rPr>
                <w:sz w:val="20"/>
                <w:szCs w:val="20"/>
              </w:rPr>
            </w:pPr>
            <w:r w:rsidRPr="003F2233">
              <w:rPr>
                <w:sz w:val="20"/>
                <w:szCs w:val="20"/>
              </w:rPr>
              <w:t>7</w:t>
            </w:r>
            <w:r w:rsidR="00875E10" w:rsidRPr="003F2233">
              <w:rPr>
                <w:sz w:val="20"/>
                <w:szCs w:val="20"/>
              </w:rPr>
              <w:t>.</w:t>
            </w:r>
            <w:r w:rsidRPr="003F2233">
              <w:rPr>
                <w:sz w:val="20"/>
                <w:szCs w:val="20"/>
              </w:rPr>
              <w:t>338</w:t>
            </w:r>
            <w:r w:rsidR="00875E10" w:rsidRPr="003F2233">
              <w:rPr>
                <w:sz w:val="20"/>
                <w:szCs w:val="20"/>
              </w:rPr>
              <w:t>.</w:t>
            </w:r>
            <w:r w:rsidRPr="003F2233">
              <w:rPr>
                <w:sz w:val="20"/>
                <w:szCs w:val="20"/>
              </w:rPr>
              <w:t>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480" w:rsidRPr="003F2233" w:rsidRDefault="00B93B63" w:rsidP="00732F73">
            <w:pPr>
              <w:jc w:val="center"/>
              <w:rPr>
                <w:sz w:val="20"/>
                <w:szCs w:val="20"/>
              </w:rPr>
            </w:pPr>
            <w:r w:rsidRPr="003F2233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480" w:rsidRPr="003F2233" w:rsidRDefault="00B93B63" w:rsidP="00732F73">
            <w:pPr>
              <w:jc w:val="center"/>
              <w:rPr>
                <w:sz w:val="20"/>
                <w:szCs w:val="20"/>
              </w:rPr>
            </w:pPr>
            <w:r w:rsidRPr="003F2233">
              <w:rPr>
                <w:sz w:val="20"/>
                <w:szCs w:val="20"/>
              </w:rPr>
              <w:t>4</w:t>
            </w:r>
            <w:r w:rsidR="00875E10" w:rsidRPr="003F2233">
              <w:rPr>
                <w:sz w:val="20"/>
                <w:szCs w:val="20"/>
              </w:rPr>
              <w:t>.</w:t>
            </w:r>
            <w:r w:rsidRPr="003F2233">
              <w:rPr>
                <w:sz w:val="20"/>
                <w:szCs w:val="20"/>
              </w:rPr>
              <w:t>757</w:t>
            </w:r>
            <w:r w:rsidR="00875E10" w:rsidRPr="003F2233">
              <w:rPr>
                <w:sz w:val="20"/>
                <w:szCs w:val="20"/>
              </w:rPr>
              <w:t>.</w:t>
            </w:r>
            <w:r w:rsidRPr="003F2233">
              <w:rPr>
                <w:sz w:val="20"/>
                <w:szCs w:val="20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480" w:rsidRPr="003F2233" w:rsidRDefault="00B93B63" w:rsidP="00732F73">
            <w:pPr>
              <w:jc w:val="center"/>
              <w:rPr>
                <w:sz w:val="20"/>
                <w:szCs w:val="20"/>
              </w:rPr>
            </w:pPr>
            <w:r w:rsidRPr="003F223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480" w:rsidRPr="003F2233" w:rsidRDefault="00B93B63" w:rsidP="00732F73">
            <w:pPr>
              <w:jc w:val="center"/>
              <w:rPr>
                <w:sz w:val="20"/>
                <w:szCs w:val="20"/>
              </w:rPr>
            </w:pPr>
            <w:r w:rsidRPr="003F223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480" w:rsidRPr="003F2233" w:rsidRDefault="00650480" w:rsidP="00732F73">
            <w:pPr>
              <w:jc w:val="center"/>
              <w:rPr>
                <w:sz w:val="20"/>
                <w:szCs w:val="20"/>
              </w:rPr>
            </w:pPr>
            <w:r w:rsidRPr="003F223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480" w:rsidRPr="003F2233" w:rsidRDefault="00875E10" w:rsidP="00732F73">
            <w:pPr>
              <w:jc w:val="center"/>
              <w:rPr>
                <w:sz w:val="20"/>
                <w:szCs w:val="20"/>
              </w:rPr>
            </w:pPr>
            <w:r w:rsidRPr="003F2233">
              <w:rPr>
                <w:sz w:val="20"/>
                <w:szCs w:val="20"/>
              </w:rPr>
              <w:t>2.581.360</w:t>
            </w:r>
          </w:p>
        </w:tc>
      </w:tr>
    </w:tbl>
    <w:p w:rsidR="00650480" w:rsidRPr="00732F73" w:rsidRDefault="00650480" w:rsidP="00732F73">
      <w:pPr>
        <w:jc w:val="both"/>
        <w:rPr>
          <w:lang w:eastAsia="en-US"/>
        </w:rPr>
      </w:pPr>
    </w:p>
    <w:sectPr w:rsidR="00650480" w:rsidRPr="00732F73" w:rsidSect="002A38B3">
      <w:footerReference w:type="default" r:id="rId9"/>
      <w:pgSz w:w="11906" w:h="16838"/>
      <w:pgMar w:top="1276" w:right="1418" w:bottom="1134" w:left="1418" w:header="709" w:footer="709" w:gutter="0"/>
      <w:pgNumType w:start="7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8B3" w:rsidRDefault="002A38B3" w:rsidP="002A38B3">
      <w:r>
        <w:separator/>
      </w:r>
    </w:p>
  </w:endnote>
  <w:endnote w:type="continuationSeparator" w:id="0">
    <w:p w:rsidR="002A38B3" w:rsidRDefault="002A38B3" w:rsidP="002A3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4064311"/>
      <w:docPartObj>
        <w:docPartGallery w:val="Page Numbers (Bottom of Page)"/>
        <w:docPartUnique/>
      </w:docPartObj>
    </w:sdtPr>
    <w:sdtContent>
      <w:p w:rsidR="002A38B3" w:rsidRDefault="002A38B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093">
          <w:rPr>
            <w:noProof/>
          </w:rPr>
          <w:t>747</w:t>
        </w:r>
        <w:r>
          <w:fldChar w:fldCharType="end"/>
        </w:r>
      </w:p>
    </w:sdtContent>
  </w:sdt>
  <w:p w:rsidR="002A38B3" w:rsidRDefault="002A38B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8B3" w:rsidRDefault="002A38B3" w:rsidP="002A38B3">
      <w:r>
        <w:separator/>
      </w:r>
    </w:p>
  </w:footnote>
  <w:footnote w:type="continuationSeparator" w:id="0">
    <w:p w:rsidR="002A38B3" w:rsidRDefault="002A38B3" w:rsidP="002A3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47DE"/>
    <w:multiLevelType w:val="hybridMultilevel"/>
    <w:tmpl w:val="47D6741A"/>
    <w:lvl w:ilvl="0" w:tplc="F4B8F0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5309D"/>
    <w:multiLevelType w:val="hybridMultilevel"/>
    <w:tmpl w:val="7B88B12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920B7B"/>
    <w:multiLevelType w:val="hybridMultilevel"/>
    <w:tmpl w:val="1C7E6EA8"/>
    <w:lvl w:ilvl="0" w:tplc="24820E6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D0164"/>
    <w:multiLevelType w:val="multilevel"/>
    <w:tmpl w:val="71E4A0A6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">
    <w:nsid w:val="466268C0"/>
    <w:multiLevelType w:val="hybridMultilevel"/>
    <w:tmpl w:val="AC7811EC"/>
    <w:lvl w:ilvl="0" w:tplc="036A32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D34643"/>
    <w:multiLevelType w:val="hybridMultilevel"/>
    <w:tmpl w:val="983E141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B80AC2"/>
    <w:multiLevelType w:val="hybridMultilevel"/>
    <w:tmpl w:val="748A2F2C"/>
    <w:lvl w:ilvl="0" w:tplc="2424E320">
      <w:numFmt w:val="bullet"/>
      <w:lvlText w:val="-"/>
      <w:lvlJc w:val="left"/>
      <w:pPr>
        <w:tabs>
          <w:tab w:val="num" w:pos="2130"/>
        </w:tabs>
        <w:ind w:left="2130" w:hanging="720"/>
      </w:pPr>
      <w:rPr>
        <w:rFonts w:ascii="Times New Roman" w:eastAsia="Times New Roman" w:hAnsi="Times New Roman"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7">
    <w:nsid w:val="679C1F84"/>
    <w:multiLevelType w:val="hybridMultilevel"/>
    <w:tmpl w:val="778CCC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2C2238"/>
    <w:multiLevelType w:val="hybridMultilevel"/>
    <w:tmpl w:val="756C0986"/>
    <w:lvl w:ilvl="0" w:tplc="24820E6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C2"/>
    <w:rsid w:val="00014B0E"/>
    <w:rsid w:val="0001711A"/>
    <w:rsid w:val="00020B64"/>
    <w:rsid w:val="00031714"/>
    <w:rsid w:val="0003449F"/>
    <w:rsid w:val="0003475F"/>
    <w:rsid w:val="00036DB3"/>
    <w:rsid w:val="00037B37"/>
    <w:rsid w:val="00041D6E"/>
    <w:rsid w:val="000434DA"/>
    <w:rsid w:val="0004354E"/>
    <w:rsid w:val="00045B6D"/>
    <w:rsid w:val="00047DAF"/>
    <w:rsid w:val="00052495"/>
    <w:rsid w:val="000550EF"/>
    <w:rsid w:val="000575BD"/>
    <w:rsid w:val="00060121"/>
    <w:rsid w:val="000624E9"/>
    <w:rsid w:val="00063844"/>
    <w:rsid w:val="00063BEE"/>
    <w:rsid w:val="00070B73"/>
    <w:rsid w:val="00073DC2"/>
    <w:rsid w:val="0008054C"/>
    <w:rsid w:val="00090104"/>
    <w:rsid w:val="000A62E2"/>
    <w:rsid w:val="000A74EC"/>
    <w:rsid w:val="000B3D5C"/>
    <w:rsid w:val="000B4933"/>
    <w:rsid w:val="000B5146"/>
    <w:rsid w:val="000B57C9"/>
    <w:rsid w:val="000C0BBA"/>
    <w:rsid w:val="000C2692"/>
    <w:rsid w:val="000C5D6E"/>
    <w:rsid w:val="000C7CBC"/>
    <w:rsid w:val="000D2227"/>
    <w:rsid w:val="000E5F95"/>
    <w:rsid w:val="000F16E5"/>
    <w:rsid w:val="000F45BA"/>
    <w:rsid w:val="000F5A1E"/>
    <w:rsid w:val="000F5D96"/>
    <w:rsid w:val="000F7FEE"/>
    <w:rsid w:val="00100467"/>
    <w:rsid w:val="00105E69"/>
    <w:rsid w:val="001063A9"/>
    <w:rsid w:val="00110EDB"/>
    <w:rsid w:val="00116196"/>
    <w:rsid w:val="00116560"/>
    <w:rsid w:val="00123075"/>
    <w:rsid w:val="00124244"/>
    <w:rsid w:val="001255BC"/>
    <w:rsid w:val="001264A0"/>
    <w:rsid w:val="001311F5"/>
    <w:rsid w:val="001559D3"/>
    <w:rsid w:val="00155E55"/>
    <w:rsid w:val="00167E35"/>
    <w:rsid w:val="00170F8D"/>
    <w:rsid w:val="00173D79"/>
    <w:rsid w:val="00174F59"/>
    <w:rsid w:val="00180B3E"/>
    <w:rsid w:val="00180E0F"/>
    <w:rsid w:val="00180FAD"/>
    <w:rsid w:val="001829F2"/>
    <w:rsid w:val="00184785"/>
    <w:rsid w:val="00186EAB"/>
    <w:rsid w:val="00191D6E"/>
    <w:rsid w:val="001A0731"/>
    <w:rsid w:val="001A095E"/>
    <w:rsid w:val="001A0C14"/>
    <w:rsid w:val="001A2EE4"/>
    <w:rsid w:val="001B0716"/>
    <w:rsid w:val="001B3453"/>
    <w:rsid w:val="001B7937"/>
    <w:rsid w:val="001D281E"/>
    <w:rsid w:val="001D2F78"/>
    <w:rsid w:val="001D4950"/>
    <w:rsid w:val="001D4987"/>
    <w:rsid w:val="001E1E3A"/>
    <w:rsid w:val="001E391D"/>
    <w:rsid w:val="001E3BCA"/>
    <w:rsid w:val="001E3EBD"/>
    <w:rsid w:val="001E49B1"/>
    <w:rsid w:val="001E6C24"/>
    <w:rsid w:val="001F236B"/>
    <w:rsid w:val="001F4E02"/>
    <w:rsid w:val="001F64C3"/>
    <w:rsid w:val="001F6E0D"/>
    <w:rsid w:val="001F7435"/>
    <w:rsid w:val="001F75A6"/>
    <w:rsid w:val="00203CDA"/>
    <w:rsid w:val="002051E2"/>
    <w:rsid w:val="00213A13"/>
    <w:rsid w:val="00221847"/>
    <w:rsid w:val="00227699"/>
    <w:rsid w:val="00230511"/>
    <w:rsid w:val="0023081D"/>
    <w:rsid w:val="00230C69"/>
    <w:rsid w:val="00235B68"/>
    <w:rsid w:val="002372CB"/>
    <w:rsid w:val="0024019E"/>
    <w:rsid w:val="00244E86"/>
    <w:rsid w:val="0025529F"/>
    <w:rsid w:val="00265C2B"/>
    <w:rsid w:val="00265C37"/>
    <w:rsid w:val="0027251B"/>
    <w:rsid w:val="00283725"/>
    <w:rsid w:val="002A327E"/>
    <w:rsid w:val="002A38B3"/>
    <w:rsid w:val="002A400B"/>
    <w:rsid w:val="002A552E"/>
    <w:rsid w:val="002A586A"/>
    <w:rsid w:val="002C1F80"/>
    <w:rsid w:val="002C45AD"/>
    <w:rsid w:val="002C478D"/>
    <w:rsid w:val="002D277D"/>
    <w:rsid w:val="002D6A69"/>
    <w:rsid w:val="002F003A"/>
    <w:rsid w:val="002F1DBE"/>
    <w:rsid w:val="003021A5"/>
    <w:rsid w:val="00302717"/>
    <w:rsid w:val="003107D5"/>
    <w:rsid w:val="003111E2"/>
    <w:rsid w:val="00315FA5"/>
    <w:rsid w:val="0032742D"/>
    <w:rsid w:val="00331C35"/>
    <w:rsid w:val="00343DFA"/>
    <w:rsid w:val="00343E48"/>
    <w:rsid w:val="00344E2A"/>
    <w:rsid w:val="00351B8C"/>
    <w:rsid w:val="00365E2A"/>
    <w:rsid w:val="003668DB"/>
    <w:rsid w:val="00366919"/>
    <w:rsid w:val="0037375E"/>
    <w:rsid w:val="0037468B"/>
    <w:rsid w:val="00384870"/>
    <w:rsid w:val="003A3111"/>
    <w:rsid w:val="003A4E60"/>
    <w:rsid w:val="003A591F"/>
    <w:rsid w:val="003B00D2"/>
    <w:rsid w:val="003B29D7"/>
    <w:rsid w:val="003C09C0"/>
    <w:rsid w:val="003C0EF4"/>
    <w:rsid w:val="003C1B97"/>
    <w:rsid w:val="003D05ED"/>
    <w:rsid w:val="003D19CB"/>
    <w:rsid w:val="003D54B2"/>
    <w:rsid w:val="003E0A08"/>
    <w:rsid w:val="003E0F48"/>
    <w:rsid w:val="003E2C4B"/>
    <w:rsid w:val="003E3D60"/>
    <w:rsid w:val="003F2233"/>
    <w:rsid w:val="003F28B0"/>
    <w:rsid w:val="003F42A9"/>
    <w:rsid w:val="003F478E"/>
    <w:rsid w:val="003F75FF"/>
    <w:rsid w:val="003F7A43"/>
    <w:rsid w:val="0040008C"/>
    <w:rsid w:val="00406F92"/>
    <w:rsid w:val="0040723D"/>
    <w:rsid w:val="004214E3"/>
    <w:rsid w:val="00422559"/>
    <w:rsid w:val="00423B86"/>
    <w:rsid w:val="004322D0"/>
    <w:rsid w:val="00433651"/>
    <w:rsid w:val="00446101"/>
    <w:rsid w:val="004529BD"/>
    <w:rsid w:val="00456113"/>
    <w:rsid w:val="004614C5"/>
    <w:rsid w:val="00465C3F"/>
    <w:rsid w:val="00471C1E"/>
    <w:rsid w:val="00476DFE"/>
    <w:rsid w:val="004808DC"/>
    <w:rsid w:val="00482080"/>
    <w:rsid w:val="00482FA6"/>
    <w:rsid w:val="004867A4"/>
    <w:rsid w:val="00487CAA"/>
    <w:rsid w:val="0049508C"/>
    <w:rsid w:val="00495ACF"/>
    <w:rsid w:val="004A2289"/>
    <w:rsid w:val="004A5D6F"/>
    <w:rsid w:val="004A7458"/>
    <w:rsid w:val="004B23AA"/>
    <w:rsid w:val="004B3864"/>
    <w:rsid w:val="004B3AB8"/>
    <w:rsid w:val="004B6225"/>
    <w:rsid w:val="004B7F84"/>
    <w:rsid w:val="004C3452"/>
    <w:rsid w:val="004C43B3"/>
    <w:rsid w:val="004C7A6A"/>
    <w:rsid w:val="004D166B"/>
    <w:rsid w:val="004D40A5"/>
    <w:rsid w:val="004D7E19"/>
    <w:rsid w:val="004E6B50"/>
    <w:rsid w:val="00500249"/>
    <w:rsid w:val="00500976"/>
    <w:rsid w:val="00501316"/>
    <w:rsid w:val="005015FB"/>
    <w:rsid w:val="005042F4"/>
    <w:rsid w:val="00504794"/>
    <w:rsid w:val="005135DF"/>
    <w:rsid w:val="0052315E"/>
    <w:rsid w:val="00523361"/>
    <w:rsid w:val="0052572E"/>
    <w:rsid w:val="00527563"/>
    <w:rsid w:val="00532D60"/>
    <w:rsid w:val="00535577"/>
    <w:rsid w:val="00543184"/>
    <w:rsid w:val="005437CC"/>
    <w:rsid w:val="0054742D"/>
    <w:rsid w:val="00554FCE"/>
    <w:rsid w:val="0055518D"/>
    <w:rsid w:val="00562E35"/>
    <w:rsid w:val="00567D80"/>
    <w:rsid w:val="00575549"/>
    <w:rsid w:val="005774EE"/>
    <w:rsid w:val="005808AF"/>
    <w:rsid w:val="00580C02"/>
    <w:rsid w:val="00585B9C"/>
    <w:rsid w:val="00591C98"/>
    <w:rsid w:val="005A154A"/>
    <w:rsid w:val="005A24EC"/>
    <w:rsid w:val="005A33BF"/>
    <w:rsid w:val="005B41B1"/>
    <w:rsid w:val="005D304D"/>
    <w:rsid w:val="005E1A05"/>
    <w:rsid w:val="005E410E"/>
    <w:rsid w:val="005E68FA"/>
    <w:rsid w:val="005E7892"/>
    <w:rsid w:val="005F3A39"/>
    <w:rsid w:val="005F3F48"/>
    <w:rsid w:val="00602446"/>
    <w:rsid w:val="00604484"/>
    <w:rsid w:val="00605AAA"/>
    <w:rsid w:val="00606DC5"/>
    <w:rsid w:val="00607B90"/>
    <w:rsid w:val="00611F3D"/>
    <w:rsid w:val="00614159"/>
    <w:rsid w:val="00614F5B"/>
    <w:rsid w:val="0062039A"/>
    <w:rsid w:val="00621066"/>
    <w:rsid w:val="0062518D"/>
    <w:rsid w:val="00626BDB"/>
    <w:rsid w:val="00627385"/>
    <w:rsid w:val="006335EA"/>
    <w:rsid w:val="006349D7"/>
    <w:rsid w:val="00642E89"/>
    <w:rsid w:val="006439FD"/>
    <w:rsid w:val="00650480"/>
    <w:rsid w:val="00651723"/>
    <w:rsid w:val="00661714"/>
    <w:rsid w:val="006671ED"/>
    <w:rsid w:val="00670389"/>
    <w:rsid w:val="00671AB0"/>
    <w:rsid w:val="00673F2D"/>
    <w:rsid w:val="00686714"/>
    <w:rsid w:val="006949B4"/>
    <w:rsid w:val="006A06E8"/>
    <w:rsid w:val="006A1614"/>
    <w:rsid w:val="006A3008"/>
    <w:rsid w:val="006A3BE0"/>
    <w:rsid w:val="006B1206"/>
    <w:rsid w:val="006B3DB3"/>
    <w:rsid w:val="006C2E41"/>
    <w:rsid w:val="006C413B"/>
    <w:rsid w:val="006C561E"/>
    <w:rsid w:val="006D41B7"/>
    <w:rsid w:val="006E5F19"/>
    <w:rsid w:val="006E6118"/>
    <w:rsid w:val="006F2A35"/>
    <w:rsid w:val="006F30A0"/>
    <w:rsid w:val="006F3293"/>
    <w:rsid w:val="006F5A70"/>
    <w:rsid w:val="006F77BC"/>
    <w:rsid w:val="00700385"/>
    <w:rsid w:val="00703014"/>
    <w:rsid w:val="00703998"/>
    <w:rsid w:val="00707389"/>
    <w:rsid w:val="0072009C"/>
    <w:rsid w:val="00725697"/>
    <w:rsid w:val="00726A41"/>
    <w:rsid w:val="0073239F"/>
    <w:rsid w:val="00732F73"/>
    <w:rsid w:val="00736D2C"/>
    <w:rsid w:val="0074268D"/>
    <w:rsid w:val="00743A3A"/>
    <w:rsid w:val="00744808"/>
    <w:rsid w:val="007649AA"/>
    <w:rsid w:val="0078032E"/>
    <w:rsid w:val="00781E00"/>
    <w:rsid w:val="00783C1F"/>
    <w:rsid w:val="007909E0"/>
    <w:rsid w:val="00794DF5"/>
    <w:rsid w:val="007A4DD6"/>
    <w:rsid w:val="007B636C"/>
    <w:rsid w:val="007C10F9"/>
    <w:rsid w:val="007C2B82"/>
    <w:rsid w:val="007C369A"/>
    <w:rsid w:val="007C5491"/>
    <w:rsid w:val="007C6986"/>
    <w:rsid w:val="007D0796"/>
    <w:rsid w:val="007E1764"/>
    <w:rsid w:val="007E58C4"/>
    <w:rsid w:val="007F4124"/>
    <w:rsid w:val="007F7C57"/>
    <w:rsid w:val="007F7E27"/>
    <w:rsid w:val="0080237C"/>
    <w:rsid w:val="008029B6"/>
    <w:rsid w:val="008100DC"/>
    <w:rsid w:val="008106CA"/>
    <w:rsid w:val="00811B67"/>
    <w:rsid w:val="00815C59"/>
    <w:rsid w:val="0082394F"/>
    <w:rsid w:val="00826F23"/>
    <w:rsid w:val="008304F3"/>
    <w:rsid w:val="008328BF"/>
    <w:rsid w:val="008347C6"/>
    <w:rsid w:val="0083596F"/>
    <w:rsid w:val="008458B4"/>
    <w:rsid w:val="0084739E"/>
    <w:rsid w:val="00857CE0"/>
    <w:rsid w:val="00860329"/>
    <w:rsid w:val="00864B4B"/>
    <w:rsid w:val="0086659B"/>
    <w:rsid w:val="00870020"/>
    <w:rsid w:val="00875E0A"/>
    <w:rsid w:val="00875E10"/>
    <w:rsid w:val="00876040"/>
    <w:rsid w:val="008775E7"/>
    <w:rsid w:val="008856C1"/>
    <w:rsid w:val="00887FB4"/>
    <w:rsid w:val="00896AB7"/>
    <w:rsid w:val="008A0C68"/>
    <w:rsid w:val="008A1C5A"/>
    <w:rsid w:val="008A2DB7"/>
    <w:rsid w:val="008A599A"/>
    <w:rsid w:val="008A59AF"/>
    <w:rsid w:val="008A64D5"/>
    <w:rsid w:val="008A7C8B"/>
    <w:rsid w:val="008C40AA"/>
    <w:rsid w:val="008C604C"/>
    <w:rsid w:val="008D42E0"/>
    <w:rsid w:val="008D63D6"/>
    <w:rsid w:val="008E6D6C"/>
    <w:rsid w:val="008E6F1E"/>
    <w:rsid w:val="008F28EC"/>
    <w:rsid w:val="008F3E4C"/>
    <w:rsid w:val="008F429D"/>
    <w:rsid w:val="009012FF"/>
    <w:rsid w:val="00904B91"/>
    <w:rsid w:val="009078DF"/>
    <w:rsid w:val="00912C7B"/>
    <w:rsid w:val="009153A2"/>
    <w:rsid w:val="00934589"/>
    <w:rsid w:val="00943C09"/>
    <w:rsid w:val="00945252"/>
    <w:rsid w:val="00945840"/>
    <w:rsid w:val="00953174"/>
    <w:rsid w:val="009555AD"/>
    <w:rsid w:val="009555B6"/>
    <w:rsid w:val="0095714B"/>
    <w:rsid w:val="009604C2"/>
    <w:rsid w:val="00960851"/>
    <w:rsid w:val="0096166E"/>
    <w:rsid w:val="00962071"/>
    <w:rsid w:val="009715A3"/>
    <w:rsid w:val="00972964"/>
    <w:rsid w:val="00973482"/>
    <w:rsid w:val="009801EC"/>
    <w:rsid w:val="009803AA"/>
    <w:rsid w:val="00980B37"/>
    <w:rsid w:val="00982629"/>
    <w:rsid w:val="00982EDD"/>
    <w:rsid w:val="00983FB1"/>
    <w:rsid w:val="009A1250"/>
    <w:rsid w:val="009A12F5"/>
    <w:rsid w:val="009A6484"/>
    <w:rsid w:val="009A66DA"/>
    <w:rsid w:val="009B3124"/>
    <w:rsid w:val="009B4A9B"/>
    <w:rsid w:val="009B6702"/>
    <w:rsid w:val="009C47C6"/>
    <w:rsid w:val="009C6479"/>
    <w:rsid w:val="009D0194"/>
    <w:rsid w:val="009D3C03"/>
    <w:rsid w:val="009D46A8"/>
    <w:rsid w:val="009D713C"/>
    <w:rsid w:val="009D7A53"/>
    <w:rsid w:val="009E29F7"/>
    <w:rsid w:val="009E2B91"/>
    <w:rsid w:val="009E394D"/>
    <w:rsid w:val="009E42F6"/>
    <w:rsid w:val="009E66FD"/>
    <w:rsid w:val="009F25D4"/>
    <w:rsid w:val="009F42D3"/>
    <w:rsid w:val="009F45F2"/>
    <w:rsid w:val="009F5DA2"/>
    <w:rsid w:val="009F7850"/>
    <w:rsid w:val="00A046FF"/>
    <w:rsid w:val="00A061F0"/>
    <w:rsid w:val="00A16267"/>
    <w:rsid w:val="00A1626F"/>
    <w:rsid w:val="00A163EF"/>
    <w:rsid w:val="00A1724F"/>
    <w:rsid w:val="00A2623A"/>
    <w:rsid w:val="00A30874"/>
    <w:rsid w:val="00A30CC8"/>
    <w:rsid w:val="00A31DD0"/>
    <w:rsid w:val="00A40675"/>
    <w:rsid w:val="00A42E79"/>
    <w:rsid w:val="00A43061"/>
    <w:rsid w:val="00A4354F"/>
    <w:rsid w:val="00A440DD"/>
    <w:rsid w:val="00A47EB6"/>
    <w:rsid w:val="00A51445"/>
    <w:rsid w:val="00A51A51"/>
    <w:rsid w:val="00A61376"/>
    <w:rsid w:val="00A627B1"/>
    <w:rsid w:val="00A70F04"/>
    <w:rsid w:val="00A750FD"/>
    <w:rsid w:val="00A758F7"/>
    <w:rsid w:val="00A80135"/>
    <w:rsid w:val="00A80774"/>
    <w:rsid w:val="00A81B71"/>
    <w:rsid w:val="00A83453"/>
    <w:rsid w:val="00A864BC"/>
    <w:rsid w:val="00A94AC9"/>
    <w:rsid w:val="00A95CD4"/>
    <w:rsid w:val="00AA0CEA"/>
    <w:rsid w:val="00AA78B9"/>
    <w:rsid w:val="00AB234A"/>
    <w:rsid w:val="00AB75F3"/>
    <w:rsid w:val="00AC1CFD"/>
    <w:rsid w:val="00AC1E6D"/>
    <w:rsid w:val="00AC35A9"/>
    <w:rsid w:val="00AC3ECD"/>
    <w:rsid w:val="00AC418E"/>
    <w:rsid w:val="00AC6EDD"/>
    <w:rsid w:val="00AD0558"/>
    <w:rsid w:val="00AD502E"/>
    <w:rsid w:val="00AD60CD"/>
    <w:rsid w:val="00AD6E34"/>
    <w:rsid w:val="00AE1867"/>
    <w:rsid w:val="00AE2455"/>
    <w:rsid w:val="00AE3CE0"/>
    <w:rsid w:val="00AE6F1C"/>
    <w:rsid w:val="00AE6FC7"/>
    <w:rsid w:val="00B0281E"/>
    <w:rsid w:val="00B035CF"/>
    <w:rsid w:val="00B10291"/>
    <w:rsid w:val="00B11388"/>
    <w:rsid w:val="00B12D20"/>
    <w:rsid w:val="00B15D7F"/>
    <w:rsid w:val="00B15FEE"/>
    <w:rsid w:val="00B2225D"/>
    <w:rsid w:val="00B27391"/>
    <w:rsid w:val="00B3084A"/>
    <w:rsid w:val="00B36141"/>
    <w:rsid w:val="00B42DE2"/>
    <w:rsid w:val="00B45D57"/>
    <w:rsid w:val="00B476BF"/>
    <w:rsid w:val="00B64162"/>
    <w:rsid w:val="00B661C8"/>
    <w:rsid w:val="00B671E7"/>
    <w:rsid w:val="00B761A0"/>
    <w:rsid w:val="00B85845"/>
    <w:rsid w:val="00B86EB4"/>
    <w:rsid w:val="00B92B0D"/>
    <w:rsid w:val="00B93B63"/>
    <w:rsid w:val="00BA57E6"/>
    <w:rsid w:val="00BA7416"/>
    <w:rsid w:val="00BB6D50"/>
    <w:rsid w:val="00BB7423"/>
    <w:rsid w:val="00BB7ED5"/>
    <w:rsid w:val="00BC1878"/>
    <w:rsid w:val="00BC47E5"/>
    <w:rsid w:val="00BC6DB6"/>
    <w:rsid w:val="00BD3C1B"/>
    <w:rsid w:val="00BD7504"/>
    <w:rsid w:val="00BE0486"/>
    <w:rsid w:val="00BE288E"/>
    <w:rsid w:val="00BE2A13"/>
    <w:rsid w:val="00BE2E0A"/>
    <w:rsid w:val="00BE4A66"/>
    <w:rsid w:val="00BE7538"/>
    <w:rsid w:val="00BF69F9"/>
    <w:rsid w:val="00C00BC0"/>
    <w:rsid w:val="00C024B6"/>
    <w:rsid w:val="00C06170"/>
    <w:rsid w:val="00C12933"/>
    <w:rsid w:val="00C24303"/>
    <w:rsid w:val="00C3210B"/>
    <w:rsid w:val="00C3574E"/>
    <w:rsid w:val="00C4372B"/>
    <w:rsid w:val="00C442F9"/>
    <w:rsid w:val="00C50484"/>
    <w:rsid w:val="00C55BAE"/>
    <w:rsid w:val="00C57733"/>
    <w:rsid w:val="00C678DC"/>
    <w:rsid w:val="00C77344"/>
    <w:rsid w:val="00C9406E"/>
    <w:rsid w:val="00C96507"/>
    <w:rsid w:val="00CA352E"/>
    <w:rsid w:val="00CA73CB"/>
    <w:rsid w:val="00CA76AD"/>
    <w:rsid w:val="00CB1E02"/>
    <w:rsid w:val="00CB4DC2"/>
    <w:rsid w:val="00CB7473"/>
    <w:rsid w:val="00CC286E"/>
    <w:rsid w:val="00CD1734"/>
    <w:rsid w:val="00CD2C40"/>
    <w:rsid w:val="00CD5093"/>
    <w:rsid w:val="00CD5FB2"/>
    <w:rsid w:val="00CD67AE"/>
    <w:rsid w:val="00CE05B3"/>
    <w:rsid w:val="00CE3103"/>
    <w:rsid w:val="00CE3367"/>
    <w:rsid w:val="00CE44BE"/>
    <w:rsid w:val="00CE58DC"/>
    <w:rsid w:val="00CF2436"/>
    <w:rsid w:val="00CF3EE0"/>
    <w:rsid w:val="00CF74B3"/>
    <w:rsid w:val="00D009C9"/>
    <w:rsid w:val="00D00FEA"/>
    <w:rsid w:val="00D11DD2"/>
    <w:rsid w:val="00D1646C"/>
    <w:rsid w:val="00D17A1D"/>
    <w:rsid w:val="00D20AC9"/>
    <w:rsid w:val="00D2349A"/>
    <w:rsid w:val="00D259E1"/>
    <w:rsid w:val="00D27D4C"/>
    <w:rsid w:val="00D311D7"/>
    <w:rsid w:val="00D42E09"/>
    <w:rsid w:val="00D44E00"/>
    <w:rsid w:val="00D45F4A"/>
    <w:rsid w:val="00D46FA5"/>
    <w:rsid w:val="00D508BD"/>
    <w:rsid w:val="00D52525"/>
    <w:rsid w:val="00D57600"/>
    <w:rsid w:val="00D57903"/>
    <w:rsid w:val="00D60BAC"/>
    <w:rsid w:val="00D66507"/>
    <w:rsid w:val="00D7017F"/>
    <w:rsid w:val="00D7140F"/>
    <w:rsid w:val="00D727C0"/>
    <w:rsid w:val="00D75657"/>
    <w:rsid w:val="00D767F7"/>
    <w:rsid w:val="00D76DA1"/>
    <w:rsid w:val="00D93B4D"/>
    <w:rsid w:val="00DA17F1"/>
    <w:rsid w:val="00DA5C39"/>
    <w:rsid w:val="00DB11B0"/>
    <w:rsid w:val="00DB1295"/>
    <w:rsid w:val="00DB25BF"/>
    <w:rsid w:val="00DB3500"/>
    <w:rsid w:val="00DB4932"/>
    <w:rsid w:val="00DD3EFB"/>
    <w:rsid w:val="00DD5C00"/>
    <w:rsid w:val="00DE0030"/>
    <w:rsid w:val="00DE1C0C"/>
    <w:rsid w:val="00DE1F75"/>
    <w:rsid w:val="00DE28E6"/>
    <w:rsid w:val="00DE3501"/>
    <w:rsid w:val="00E03B1C"/>
    <w:rsid w:val="00E04964"/>
    <w:rsid w:val="00E0595E"/>
    <w:rsid w:val="00E07E55"/>
    <w:rsid w:val="00E151D9"/>
    <w:rsid w:val="00E2322E"/>
    <w:rsid w:val="00E30CE2"/>
    <w:rsid w:val="00E35A5B"/>
    <w:rsid w:val="00E366E6"/>
    <w:rsid w:val="00E37AB5"/>
    <w:rsid w:val="00E4028E"/>
    <w:rsid w:val="00E41EF9"/>
    <w:rsid w:val="00E465E4"/>
    <w:rsid w:val="00E51558"/>
    <w:rsid w:val="00E55FA7"/>
    <w:rsid w:val="00E64B17"/>
    <w:rsid w:val="00E67600"/>
    <w:rsid w:val="00E70909"/>
    <w:rsid w:val="00E75D4F"/>
    <w:rsid w:val="00E75EA7"/>
    <w:rsid w:val="00E76F4C"/>
    <w:rsid w:val="00E778AB"/>
    <w:rsid w:val="00E855FF"/>
    <w:rsid w:val="00E86CD6"/>
    <w:rsid w:val="00E87D09"/>
    <w:rsid w:val="00E87E66"/>
    <w:rsid w:val="00E90650"/>
    <w:rsid w:val="00E9490F"/>
    <w:rsid w:val="00E95761"/>
    <w:rsid w:val="00E97697"/>
    <w:rsid w:val="00EB0BCE"/>
    <w:rsid w:val="00EB0C52"/>
    <w:rsid w:val="00EB162E"/>
    <w:rsid w:val="00EB52B0"/>
    <w:rsid w:val="00EC16ED"/>
    <w:rsid w:val="00EC667E"/>
    <w:rsid w:val="00ED246B"/>
    <w:rsid w:val="00ED7A1D"/>
    <w:rsid w:val="00EE002B"/>
    <w:rsid w:val="00EE2E86"/>
    <w:rsid w:val="00EE68BB"/>
    <w:rsid w:val="00EF086C"/>
    <w:rsid w:val="00EF5BB9"/>
    <w:rsid w:val="00F01856"/>
    <w:rsid w:val="00F0272A"/>
    <w:rsid w:val="00F10BF6"/>
    <w:rsid w:val="00F17DB7"/>
    <w:rsid w:val="00F17FE6"/>
    <w:rsid w:val="00F2450A"/>
    <w:rsid w:val="00F34B10"/>
    <w:rsid w:val="00F37BA2"/>
    <w:rsid w:val="00F430EC"/>
    <w:rsid w:val="00F43FE7"/>
    <w:rsid w:val="00F51A6D"/>
    <w:rsid w:val="00F5253E"/>
    <w:rsid w:val="00F53EA4"/>
    <w:rsid w:val="00F57992"/>
    <w:rsid w:val="00F617CC"/>
    <w:rsid w:val="00F63F9D"/>
    <w:rsid w:val="00F64AF9"/>
    <w:rsid w:val="00F678E1"/>
    <w:rsid w:val="00F736B6"/>
    <w:rsid w:val="00F750B9"/>
    <w:rsid w:val="00F81BC4"/>
    <w:rsid w:val="00F83626"/>
    <w:rsid w:val="00F83C22"/>
    <w:rsid w:val="00F843D2"/>
    <w:rsid w:val="00F85129"/>
    <w:rsid w:val="00F857CC"/>
    <w:rsid w:val="00F90667"/>
    <w:rsid w:val="00F94C76"/>
    <w:rsid w:val="00FB0474"/>
    <w:rsid w:val="00FB4C4D"/>
    <w:rsid w:val="00FB534B"/>
    <w:rsid w:val="00FB617E"/>
    <w:rsid w:val="00FC1BD8"/>
    <w:rsid w:val="00FC33FB"/>
    <w:rsid w:val="00FD0261"/>
    <w:rsid w:val="00FD2D8E"/>
    <w:rsid w:val="00FD311A"/>
    <w:rsid w:val="00FD3F0F"/>
    <w:rsid w:val="00FD5BB0"/>
    <w:rsid w:val="00FD5D31"/>
    <w:rsid w:val="00FE1958"/>
    <w:rsid w:val="00FE3FBA"/>
    <w:rsid w:val="00FE7897"/>
    <w:rsid w:val="00FF0ED7"/>
    <w:rsid w:val="00FF46B8"/>
    <w:rsid w:val="00FF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3DC2"/>
    <w:rPr>
      <w:sz w:val="24"/>
      <w:szCs w:val="24"/>
    </w:rPr>
  </w:style>
  <w:style w:type="paragraph" w:styleId="Naslov1">
    <w:name w:val="heading 1"/>
    <w:basedOn w:val="Normal"/>
    <w:next w:val="Normal"/>
    <w:autoRedefine/>
    <w:qFormat/>
    <w:rsid w:val="00CB4DC2"/>
    <w:pPr>
      <w:numPr>
        <w:numId w:val="4"/>
      </w:numPr>
      <w:pBdr>
        <w:bottom w:val="single" w:sz="4" w:space="1" w:color="27632A"/>
      </w:pBdr>
      <w:spacing w:before="200" w:after="80"/>
      <w:ind w:left="431" w:hanging="431"/>
      <w:jc w:val="both"/>
      <w:outlineLvl w:val="0"/>
    </w:pPr>
    <w:rPr>
      <w:rFonts w:ascii="Cambria" w:eastAsia="Calibri" w:hAnsi="Cambria" w:cs="Calibri"/>
      <w:b/>
      <w:color w:val="632423"/>
      <w:sz w:val="32"/>
      <w:szCs w:val="40"/>
      <w:lang w:eastAsia="ja-JP"/>
    </w:rPr>
  </w:style>
  <w:style w:type="paragraph" w:styleId="Naslov2">
    <w:name w:val="heading 2"/>
    <w:basedOn w:val="Normal"/>
    <w:next w:val="Normal"/>
    <w:link w:val="Naslov2Char"/>
    <w:qFormat/>
    <w:rsid w:val="00CB4DC2"/>
    <w:pPr>
      <w:numPr>
        <w:ilvl w:val="1"/>
        <w:numId w:val="4"/>
      </w:numPr>
      <w:spacing w:before="200"/>
      <w:outlineLvl w:val="1"/>
    </w:pPr>
    <w:rPr>
      <w:rFonts w:eastAsia="Calibri" w:cs="Calibri"/>
      <w:color w:val="27632A"/>
      <w:sz w:val="28"/>
      <w:szCs w:val="28"/>
      <w:lang w:eastAsia="ja-JP"/>
    </w:rPr>
  </w:style>
  <w:style w:type="paragraph" w:styleId="Naslov3">
    <w:name w:val="heading 3"/>
    <w:basedOn w:val="Normal"/>
    <w:next w:val="Normal"/>
    <w:qFormat/>
    <w:rsid w:val="00CB4DC2"/>
    <w:pPr>
      <w:numPr>
        <w:ilvl w:val="2"/>
        <w:numId w:val="4"/>
      </w:numPr>
      <w:spacing w:before="200"/>
      <w:outlineLvl w:val="2"/>
    </w:pPr>
    <w:rPr>
      <w:rFonts w:ascii="Cambria" w:eastAsia="Calibri" w:hAnsi="Cambria" w:cs="Calibri"/>
      <w:color w:val="27632A"/>
      <w:lang w:eastAsia="ja-JP"/>
    </w:rPr>
  </w:style>
  <w:style w:type="paragraph" w:styleId="Naslov4">
    <w:name w:val="heading 4"/>
    <w:basedOn w:val="Normal"/>
    <w:next w:val="Normal"/>
    <w:qFormat/>
    <w:rsid w:val="00CB4DC2"/>
    <w:pPr>
      <w:numPr>
        <w:ilvl w:val="3"/>
        <w:numId w:val="4"/>
      </w:numPr>
      <w:spacing w:before="200"/>
      <w:outlineLvl w:val="3"/>
    </w:pPr>
    <w:rPr>
      <w:rFonts w:ascii="Cambria" w:eastAsia="Calibri" w:hAnsi="Cambria" w:cs="Calibri"/>
      <w:i/>
      <w:color w:val="C0504D"/>
      <w:lang w:eastAsia="ja-JP"/>
    </w:rPr>
  </w:style>
  <w:style w:type="paragraph" w:styleId="Naslov5">
    <w:name w:val="heading 5"/>
    <w:basedOn w:val="Normal"/>
    <w:next w:val="Normal"/>
    <w:qFormat/>
    <w:rsid w:val="00CB4DC2"/>
    <w:pPr>
      <w:numPr>
        <w:ilvl w:val="4"/>
        <w:numId w:val="4"/>
      </w:numPr>
      <w:spacing w:before="200"/>
      <w:outlineLvl w:val="4"/>
    </w:pPr>
    <w:rPr>
      <w:rFonts w:ascii="Cambria" w:eastAsia="Calibri" w:hAnsi="Cambria" w:cs="Calibri"/>
      <w:b/>
      <w:color w:val="943634"/>
      <w:sz w:val="20"/>
      <w:szCs w:val="20"/>
      <w:lang w:eastAsia="ja-JP"/>
    </w:rPr>
  </w:style>
  <w:style w:type="paragraph" w:styleId="Naslov6">
    <w:name w:val="heading 6"/>
    <w:basedOn w:val="Normal"/>
    <w:next w:val="Normal"/>
    <w:qFormat/>
    <w:rsid w:val="00CB4DC2"/>
    <w:pPr>
      <w:numPr>
        <w:ilvl w:val="5"/>
        <w:numId w:val="4"/>
      </w:numPr>
      <w:spacing w:before="200"/>
      <w:outlineLvl w:val="5"/>
    </w:pPr>
    <w:rPr>
      <w:rFonts w:ascii="Cambria" w:eastAsia="Calibri" w:hAnsi="Cambria" w:cs="Calibri"/>
      <w:b/>
      <w:i/>
      <w:color w:val="943634"/>
      <w:sz w:val="20"/>
      <w:szCs w:val="20"/>
      <w:lang w:eastAsia="ja-JP"/>
    </w:rPr>
  </w:style>
  <w:style w:type="paragraph" w:styleId="Naslov7">
    <w:name w:val="heading 7"/>
    <w:basedOn w:val="Normal"/>
    <w:next w:val="Normal"/>
    <w:qFormat/>
    <w:rsid w:val="00CB4DC2"/>
    <w:pPr>
      <w:numPr>
        <w:ilvl w:val="6"/>
        <w:numId w:val="4"/>
      </w:numPr>
      <w:spacing w:before="200"/>
      <w:outlineLvl w:val="6"/>
    </w:pPr>
    <w:rPr>
      <w:rFonts w:ascii="Cambria" w:eastAsia="Calibri" w:hAnsi="Cambria" w:cs="Calibri"/>
      <w:b/>
      <w:color w:val="4F81BD"/>
      <w:sz w:val="20"/>
      <w:szCs w:val="20"/>
      <w:lang w:eastAsia="ja-JP"/>
    </w:rPr>
  </w:style>
  <w:style w:type="paragraph" w:styleId="Naslov8">
    <w:name w:val="heading 8"/>
    <w:basedOn w:val="Normal"/>
    <w:next w:val="Normal"/>
    <w:qFormat/>
    <w:rsid w:val="00CB4DC2"/>
    <w:pPr>
      <w:numPr>
        <w:ilvl w:val="7"/>
        <w:numId w:val="4"/>
      </w:numPr>
      <w:spacing w:before="200"/>
      <w:outlineLvl w:val="7"/>
    </w:pPr>
    <w:rPr>
      <w:rFonts w:ascii="Cambria" w:eastAsia="Calibri" w:hAnsi="Cambria" w:cs="Calibri"/>
      <w:b/>
      <w:i/>
      <w:color w:val="4F81BD"/>
      <w:sz w:val="20"/>
      <w:szCs w:val="20"/>
      <w:lang w:eastAsia="ja-JP"/>
    </w:rPr>
  </w:style>
  <w:style w:type="paragraph" w:styleId="Naslov9">
    <w:name w:val="heading 9"/>
    <w:basedOn w:val="Normal"/>
    <w:next w:val="Normal"/>
    <w:qFormat/>
    <w:rsid w:val="00CB4DC2"/>
    <w:pPr>
      <w:numPr>
        <w:ilvl w:val="8"/>
        <w:numId w:val="4"/>
      </w:numPr>
      <w:spacing w:before="200"/>
      <w:outlineLvl w:val="8"/>
    </w:pPr>
    <w:rPr>
      <w:rFonts w:ascii="Cambria" w:eastAsia="Calibri" w:hAnsi="Cambria" w:cs="Calibri"/>
      <w:b/>
      <w:color w:val="17365D"/>
      <w:sz w:val="20"/>
      <w:szCs w:val="20"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073DC2"/>
    <w:pPr>
      <w:ind w:left="720"/>
    </w:pPr>
    <w:rPr>
      <w:rFonts w:eastAsia="Calibri"/>
    </w:rPr>
  </w:style>
  <w:style w:type="paragraph" w:styleId="Obinitekst">
    <w:name w:val="Plain Text"/>
    <w:basedOn w:val="Normal"/>
    <w:unhideWhenUsed/>
    <w:rsid w:val="00073DC2"/>
    <w:rPr>
      <w:rFonts w:ascii="Consolas" w:eastAsia="Calibri" w:hAnsi="Consolas"/>
      <w:sz w:val="21"/>
      <w:szCs w:val="21"/>
      <w:lang w:eastAsia="en-US"/>
    </w:rPr>
  </w:style>
  <w:style w:type="character" w:customStyle="1" w:styleId="Naslov2Char">
    <w:name w:val="Naslov 2 Char"/>
    <w:link w:val="Naslov2"/>
    <w:locked/>
    <w:rsid w:val="00CB4DC2"/>
    <w:rPr>
      <w:rFonts w:eastAsia="Calibri" w:cs="Calibri"/>
      <w:color w:val="27632A"/>
      <w:sz w:val="28"/>
      <w:szCs w:val="28"/>
      <w:lang w:val="hr-HR" w:eastAsia="ja-JP" w:bidi="ar-SA"/>
    </w:rPr>
  </w:style>
  <w:style w:type="paragraph" w:customStyle="1" w:styleId="CharCharCharCharCharCharChar">
    <w:name w:val="Char Char Char Char Char Char Char"/>
    <w:basedOn w:val="Normal"/>
    <w:rsid w:val="004820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kstbalonia">
    <w:name w:val="Balloon Text"/>
    <w:basedOn w:val="Normal"/>
    <w:link w:val="TekstbaloniaChar"/>
    <w:rsid w:val="00794DF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794DF5"/>
    <w:rPr>
      <w:rFonts w:ascii="Tahoma" w:hAnsi="Tahoma" w:cs="Tahoma"/>
      <w:sz w:val="16"/>
      <w:szCs w:val="16"/>
      <w:lang w:val="hr-HR" w:eastAsia="hr-HR"/>
    </w:rPr>
  </w:style>
  <w:style w:type="character" w:styleId="Referencakomentara">
    <w:name w:val="annotation reference"/>
    <w:uiPriority w:val="99"/>
    <w:unhideWhenUsed/>
    <w:rsid w:val="0070038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700385"/>
    <w:rPr>
      <w:rFonts w:ascii="Arial" w:hAnsi="Arial" w:cs="Arial"/>
      <w:sz w:val="20"/>
      <w:szCs w:val="20"/>
    </w:rPr>
  </w:style>
  <w:style w:type="character" w:customStyle="1" w:styleId="TekstkomentaraChar">
    <w:name w:val="Tekst komentara Char"/>
    <w:link w:val="Tekstkomentara"/>
    <w:uiPriority w:val="99"/>
    <w:rsid w:val="00700385"/>
    <w:rPr>
      <w:rFonts w:ascii="Arial" w:hAnsi="Arial" w:cs="Arial"/>
    </w:rPr>
  </w:style>
  <w:style w:type="paragraph" w:styleId="Predmetkomentara">
    <w:name w:val="annotation subject"/>
    <w:basedOn w:val="Tekstkomentara"/>
    <w:next w:val="Tekstkomentara"/>
    <w:link w:val="PredmetkomentaraChar"/>
    <w:rsid w:val="00700385"/>
    <w:rPr>
      <w:rFonts w:ascii="Times New Roman" w:hAnsi="Times New Roman" w:cs="Times New Roman"/>
      <w:b/>
      <w:bCs/>
    </w:rPr>
  </w:style>
  <w:style w:type="character" w:customStyle="1" w:styleId="PredmetkomentaraChar">
    <w:name w:val="Predmet komentara Char"/>
    <w:link w:val="Predmetkomentara"/>
    <w:rsid w:val="00700385"/>
    <w:rPr>
      <w:rFonts w:ascii="Arial" w:hAnsi="Arial" w:cs="Arial"/>
      <w:b/>
      <w:bCs/>
    </w:rPr>
  </w:style>
  <w:style w:type="paragraph" w:customStyle="1" w:styleId="CharChar2CharChar1CharCharCharChar">
    <w:name w:val="Char Char2 Char Char1 Char Char Char Char"/>
    <w:basedOn w:val="Normal"/>
    <w:rsid w:val="0030271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Zaglavlje">
    <w:name w:val="header"/>
    <w:basedOn w:val="Normal"/>
    <w:link w:val="ZaglavljeChar"/>
    <w:rsid w:val="002A38B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2A38B3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2A38B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A38B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3DC2"/>
    <w:rPr>
      <w:sz w:val="24"/>
      <w:szCs w:val="24"/>
    </w:rPr>
  </w:style>
  <w:style w:type="paragraph" w:styleId="Naslov1">
    <w:name w:val="heading 1"/>
    <w:basedOn w:val="Normal"/>
    <w:next w:val="Normal"/>
    <w:autoRedefine/>
    <w:qFormat/>
    <w:rsid w:val="00CB4DC2"/>
    <w:pPr>
      <w:numPr>
        <w:numId w:val="4"/>
      </w:numPr>
      <w:pBdr>
        <w:bottom w:val="single" w:sz="4" w:space="1" w:color="27632A"/>
      </w:pBdr>
      <w:spacing w:before="200" w:after="80"/>
      <w:ind w:left="431" w:hanging="431"/>
      <w:jc w:val="both"/>
      <w:outlineLvl w:val="0"/>
    </w:pPr>
    <w:rPr>
      <w:rFonts w:ascii="Cambria" w:eastAsia="Calibri" w:hAnsi="Cambria" w:cs="Calibri"/>
      <w:b/>
      <w:color w:val="632423"/>
      <w:sz w:val="32"/>
      <w:szCs w:val="40"/>
      <w:lang w:eastAsia="ja-JP"/>
    </w:rPr>
  </w:style>
  <w:style w:type="paragraph" w:styleId="Naslov2">
    <w:name w:val="heading 2"/>
    <w:basedOn w:val="Normal"/>
    <w:next w:val="Normal"/>
    <w:link w:val="Naslov2Char"/>
    <w:qFormat/>
    <w:rsid w:val="00CB4DC2"/>
    <w:pPr>
      <w:numPr>
        <w:ilvl w:val="1"/>
        <w:numId w:val="4"/>
      </w:numPr>
      <w:spacing w:before="200"/>
      <w:outlineLvl w:val="1"/>
    </w:pPr>
    <w:rPr>
      <w:rFonts w:eastAsia="Calibri" w:cs="Calibri"/>
      <w:color w:val="27632A"/>
      <w:sz w:val="28"/>
      <w:szCs w:val="28"/>
      <w:lang w:eastAsia="ja-JP"/>
    </w:rPr>
  </w:style>
  <w:style w:type="paragraph" w:styleId="Naslov3">
    <w:name w:val="heading 3"/>
    <w:basedOn w:val="Normal"/>
    <w:next w:val="Normal"/>
    <w:qFormat/>
    <w:rsid w:val="00CB4DC2"/>
    <w:pPr>
      <w:numPr>
        <w:ilvl w:val="2"/>
        <w:numId w:val="4"/>
      </w:numPr>
      <w:spacing w:before="200"/>
      <w:outlineLvl w:val="2"/>
    </w:pPr>
    <w:rPr>
      <w:rFonts w:ascii="Cambria" w:eastAsia="Calibri" w:hAnsi="Cambria" w:cs="Calibri"/>
      <w:color w:val="27632A"/>
      <w:lang w:eastAsia="ja-JP"/>
    </w:rPr>
  </w:style>
  <w:style w:type="paragraph" w:styleId="Naslov4">
    <w:name w:val="heading 4"/>
    <w:basedOn w:val="Normal"/>
    <w:next w:val="Normal"/>
    <w:qFormat/>
    <w:rsid w:val="00CB4DC2"/>
    <w:pPr>
      <w:numPr>
        <w:ilvl w:val="3"/>
        <w:numId w:val="4"/>
      </w:numPr>
      <w:spacing w:before="200"/>
      <w:outlineLvl w:val="3"/>
    </w:pPr>
    <w:rPr>
      <w:rFonts w:ascii="Cambria" w:eastAsia="Calibri" w:hAnsi="Cambria" w:cs="Calibri"/>
      <w:i/>
      <w:color w:val="C0504D"/>
      <w:lang w:eastAsia="ja-JP"/>
    </w:rPr>
  </w:style>
  <w:style w:type="paragraph" w:styleId="Naslov5">
    <w:name w:val="heading 5"/>
    <w:basedOn w:val="Normal"/>
    <w:next w:val="Normal"/>
    <w:qFormat/>
    <w:rsid w:val="00CB4DC2"/>
    <w:pPr>
      <w:numPr>
        <w:ilvl w:val="4"/>
        <w:numId w:val="4"/>
      </w:numPr>
      <w:spacing w:before="200"/>
      <w:outlineLvl w:val="4"/>
    </w:pPr>
    <w:rPr>
      <w:rFonts w:ascii="Cambria" w:eastAsia="Calibri" w:hAnsi="Cambria" w:cs="Calibri"/>
      <w:b/>
      <w:color w:val="943634"/>
      <w:sz w:val="20"/>
      <w:szCs w:val="20"/>
      <w:lang w:eastAsia="ja-JP"/>
    </w:rPr>
  </w:style>
  <w:style w:type="paragraph" w:styleId="Naslov6">
    <w:name w:val="heading 6"/>
    <w:basedOn w:val="Normal"/>
    <w:next w:val="Normal"/>
    <w:qFormat/>
    <w:rsid w:val="00CB4DC2"/>
    <w:pPr>
      <w:numPr>
        <w:ilvl w:val="5"/>
        <w:numId w:val="4"/>
      </w:numPr>
      <w:spacing w:before="200"/>
      <w:outlineLvl w:val="5"/>
    </w:pPr>
    <w:rPr>
      <w:rFonts w:ascii="Cambria" w:eastAsia="Calibri" w:hAnsi="Cambria" w:cs="Calibri"/>
      <w:b/>
      <w:i/>
      <w:color w:val="943634"/>
      <w:sz w:val="20"/>
      <w:szCs w:val="20"/>
      <w:lang w:eastAsia="ja-JP"/>
    </w:rPr>
  </w:style>
  <w:style w:type="paragraph" w:styleId="Naslov7">
    <w:name w:val="heading 7"/>
    <w:basedOn w:val="Normal"/>
    <w:next w:val="Normal"/>
    <w:qFormat/>
    <w:rsid w:val="00CB4DC2"/>
    <w:pPr>
      <w:numPr>
        <w:ilvl w:val="6"/>
        <w:numId w:val="4"/>
      </w:numPr>
      <w:spacing w:before="200"/>
      <w:outlineLvl w:val="6"/>
    </w:pPr>
    <w:rPr>
      <w:rFonts w:ascii="Cambria" w:eastAsia="Calibri" w:hAnsi="Cambria" w:cs="Calibri"/>
      <w:b/>
      <w:color w:val="4F81BD"/>
      <w:sz w:val="20"/>
      <w:szCs w:val="20"/>
      <w:lang w:eastAsia="ja-JP"/>
    </w:rPr>
  </w:style>
  <w:style w:type="paragraph" w:styleId="Naslov8">
    <w:name w:val="heading 8"/>
    <w:basedOn w:val="Normal"/>
    <w:next w:val="Normal"/>
    <w:qFormat/>
    <w:rsid w:val="00CB4DC2"/>
    <w:pPr>
      <w:numPr>
        <w:ilvl w:val="7"/>
        <w:numId w:val="4"/>
      </w:numPr>
      <w:spacing w:before="200"/>
      <w:outlineLvl w:val="7"/>
    </w:pPr>
    <w:rPr>
      <w:rFonts w:ascii="Cambria" w:eastAsia="Calibri" w:hAnsi="Cambria" w:cs="Calibri"/>
      <w:b/>
      <w:i/>
      <w:color w:val="4F81BD"/>
      <w:sz w:val="20"/>
      <w:szCs w:val="20"/>
      <w:lang w:eastAsia="ja-JP"/>
    </w:rPr>
  </w:style>
  <w:style w:type="paragraph" w:styleId="Naslov9">
    <w:name w:val="heading 9"/>
    <w:basedOn w:val="Normal"/>
    <w:next w:val="Normal"/>
    <w:qFormat/>
    <w:rsid w:val="00CB4DC2"/>
    <w:pPr>
      <w:numPr>
        <w:ilvl w:val="8"/>
        <w:numId w:val="4"/>
      </w:numPr>
      <w:spacing w:before="200"/>
      <w:outlineLvl w:val="8"/>
    </w:pPr>
    <w:rPr>
      <w:rFonts w:ascii="Cambria" w:eastAsia="Calibri" w:hAnsi="Cambria" w:cs="Calibri"/>
      <w:b/>
      <w:color w:val="17365D"/>
      <w:sz w:val="20"/>
      <w:szCs w:val="20"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073DC2"/>
    <w:pPr>
      <w:ind w:left="720"/>
    </w:pPr>
    <w:rPr>
      <w:rFonts w:eastAsia="Calibri"/>
    </w:rPr>
  </w:style>
  <w:style w:type="paragraph" w:styleId="Obinitekst">
    <w:name w:val="Plain Text"/>
    <w:basedOn w:val="Normal"/>
    <w:unhideWhenUsed/>
    <w:rsid w:val="00073DC2"/>
    <w:rPr>
      <w:rFonts w:ascii="Consolas" w:eastAsia="Calibri" w:hAnsi="Consolas"/>
      <w:sz w:val="21"/>
      <w:szCs w:val="21"/>
      <w:lang w:eastAsia="en-US"/>
    </w:rPr>
  </w:style>
  <w:style w:type="character" w:customStyle="1" w:styleId="Naslov2Char">
    <w:name w:val="Naslov 2 Char"/>
    <w:link w:val="Naslov2"/>
    <w:locked/>
    <w:rsid w:val="00CB4DC2"/>
    <w:rPr>
      <w:rFonts w:eastAsia="Calibri" w:cs="Calibri"/>
      <w:color w:val="27632A"/>
      <w:sz w:val="28"/>
      <w:szCs w:val="28"/>
      <w:lang w:val="hr-HR" w:eastAsia="ja-JP" w:bidi="ar-SA"/>
    </w:rPr>
  </w:style>
  <w:style w:type="paragraph" w:customStyle="1" w:styleId="CharCharCharCharCharCharChar">
    <w:name w:val="Char Char Char Char Char Char Char"/>
    <w:basedOn w:val="Normal"/>
    <w:rsid w:val="004820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kstbalonia">
    <w:name w:val="Balloon Text"/>
    <w:basedOn w:val="Normal"/>
    <w:link w:val="TekstbaloniaChar"/>
    <w:rsid w:val="00794DF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794DF5"/>
    <w:rPr>
      <w:rFonts w:ascii="Tahoma" w:hAnsi="Tahoma" w:cs="Tahoma"/>
      <w:sz w:val="16"/>
      <w:szCs w:val="16"/>
      <w:lang w:val="hr-HR" w:eastAsia="hr-HR"/>
    </w:rPr>
  </w:style>
  <w:style w:type="character" w:styleId="Referencakomentara">
    <w:name w:val="annotation reference"/>
    <w:uiPriority w:val="99"/>
    <w:unhideWhenUsed/>
    <w:rsid w:val="0070038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700385"/>
    <w:rPr>
      <w:rFonts w:ascii="Arial" w:hAnsi="Arial" w:cs="Arial"/>
      <w:sz w:val="20"/>
      <w:szCs w:val="20"/>
    </w:rPr>
  </w:style>
  <w:style w:type="character" w:customStyle="1" w:styleId="TekstkomentaraChar">
    <w:name w:val="Tekst komentara Char"/>
    <w:link w:val="Tekstkomentara"/>
    <w:uiPriority w:val="99"/>
    <w:rsid w:val="00700385"/>
    <w:rPr>
      <w:rFonts w:ascii="Arial" w:hAnsi="Arial" w:cs="Arial"/>
    </w:rPr>
  </w:style>
  <w:style w:type="paragraph" w:styleId="Predmetkomentara">
    <w:name w:val="annotation subject"/>
    <w:basedOn w:val="Tekstkomentara"/>
    <w:next w:val="Tekstkomentara"/>
    <w:link w:val="PredmetkomentaraChar"/>
    <w:rsid w:val="00700385"/>
    <w:rPr>
      <w:rFonts w:ascii="Times New Roman" w:hAnsi="Times New Roman" w:cs="Times New Roman"/>
      <w:b/>
      <w:bCs/>
    </w:rPr>
  </w:style>
  <w:style w:type="character" w:customStyle="1" w:styleId="PredmetkomentaraChar">
    <w:name w:val="Predmet komentara Char"/>
    <w:link w:val="Predmetkomentara"/>
    <w:rsid w:val="00700385"/>
    <w:rPr>
      <w:rFonts w:ascii="Arial" w:hAnsi="Arial" w:cs="Arial"/>
      <w:b/>
      <w:bCs/>
    </w:rPr>
  </w:style>
  <w:style w:type="paragraph" w:customStyle="1" w:styleId="CharChar2CharChar1CharCharCharChar">
    <w:name w:val="Char Char2 Char Char1 Char Char Char Char"/>
    <w:basedOn w:val="Normal"/>
    <w:rsid w:val="0030271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Zaglavlje">
    <w:name w:val="header"/>
    <w:basedOn w:val="Normal"/>
    <w:link w:val="ZaglavljeChar"/>
    <w:rsid w:val="002A38B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2A38B3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2A38B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A38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DB0A0-04FC-4444-9AD9-72BC9D247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2451</Words>
  <Characters>14225</Characters>
  <Application>Microsoft Office Word</Application>
  <DocSecurity>0</DocSecurity>
  <Lines>118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UVOD</vt:lpstr>
      <vt:lpstr>UVOD</vt:lpstr>
    </vt:vector>
  </TitlesOfParts>
  <Company>hv</Company>
  <LinksUpToDate>false</LinksUpToDate>
  <CharactersWithSpaces>16643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UVOD</dc:title>
  <dc:creator>hv</dc:creator>
  <cp:lastModifiedBy>mfkor</cp:lastModifiedBy>
  <cp:revision>6</cp:revision>
  <cp:lastPrinted>2019-07-31T10:01:00Z</cp:lastPrinted>
  <dcterms:created xsi:type="dcterms:W3CDTF">2020-04-14T09:58:00Z</dcterms:created>
  <dcterms:modified xsi:type="dcterms:W3CDTF">2020-05-05T14:10:00Z</dcterms:modified>
</cp:coreProperties>
</file>